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  <w:sz w:val="22"/>
        </w:rPr>
        <w:t>STROBE Statement—Checklist of items for cross-sectional studies (ecological design)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784"/>
        <w:gridCol w:w="3784"/>
        <w:gridCol w:w="3784"/>
        <w:gridCol w:w="3784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b/>
                <w:sz w:val="18"/>
              </w:rPr>
              <w:t>Item No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b/>
                <w:sz w:val="18"/>
              </w:rPr>
              <w:t>Recommendation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/>
                <w:sz w:val="18"/>
              </w:rPr>
              <w:t>Reported on page / section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Title and abstract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16"/>
              </w:rPr>
              <w:t>(a) Indicate the study’s design with a commonly used term in the title or abstract</w:t>
              <w:br/>
              <w:t>(b) Provide in the abstract an informative and balanced summary of what was done and what was found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6"/>
              </w:rPr>
              <w:t>(a) Title: "Regional Heterogeneity..." implies ecological design; Abstract line 1: "ecological study"</w:t>
              <w:br/>
              <w:t>(b) Abstract: structured (Introduction, Methods, Results, Conclusions)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18"/>
              </w:rPr>
              <w:t>Introduction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Background/rationale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16"/>
              </w:rPr>
              <w:t>Explain the scientific background and rationale for the investigation being reported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6"/>
              </w:rPr>
              <w:t>Introduction, paragraphs 1–3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Objectives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16"/>
              </w:rPr>
              <w:t>State specific objectives, including any prespecified hypotheses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6"/>
              </w:rPr>
              <w:t>Introduction, paragraph 4: three objectives stated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18"/>
              </w:rPr>
              <w:t>Methods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Study design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16"/>
              </w:rPr>
              <w:t>Present key elements of study design early in the paper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6"/>
              </w:rPr>
              <w:t>Methods: "This ecological study analyzed prefecture-level aggregate data..."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Setting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16"/>
              </w:rPr>
              <w:t>Describe the setting, locations, and relevant dates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6"/>
              </w:rPr>
              <w:t>Methods, Data source: NDB Open Data, April 2023–March 2024, 47 prefectures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Participants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16"/>
              </w:rPr>
              <w:t>Give the eligibility criteria, and the sources and methods of selection of participants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6"/>
              </w:rPr>
              <w:t>Methods, Data source: population-complete insurance claims, ~125 million insured; Methods, Regional classification: nine blocks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Variables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16"/>
              </w:rPr>
              <w:t>Clearly define all outcomes, exposures, predictors, potential confounders, and effect modifiers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6"/>
              </w:rPr>
              <w:t>Methods, Phase 1 (analgesic classes), Phase 2 (neuropathic pain drugs), Confounder proxies (4 classes)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Data sources/measurement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16"/>
              </w:rPr>
              <w:t>For each variable, give sources of data and details of assessment methods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6"/>
              </w:rPr>
              <w:t>Methods: NDB drug classification codes, K Surgery section procedure codes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Bias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16"/>
              </w:rPr>
              <w:t>Describe any efforts to address potential sources of bias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6"/>
              </w:rPr>
              <w:t>Methods, Confounder disease proxies: four disease proxies extracted; Discussion, Strengths and limitations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Study size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16"/>
              </w:rPr>
              <w:t>Explain how the study size was arrived at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6"/>
              </w:rPr>
              <w:t>Results: 7,903,515 surgical procedures, 274,579,851 analgesic units across 47 prefectures (population-complete)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Quantitative variables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16"/>
              </w:rPr>
              <w:t>Explain how quantitative variables were handled in the analyses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6"/>
              </w:rPr>
              <w:t>Methods: analgesic-per-surgery index, neuropathic pain prescribing-per-surgery index, confounder proxies per surgery, adjusted CPSP index (residuals)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Statistical methods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16"/>
              </w:rPr>
              <w:t>(a) Describe all statistical methods</w:t>
              <w:br/>
              <w:t>(b) Describe any methods used to examine subgroups and interactions</w:t>
              <w:br/>
              <w:t>(c) Explain how missing data were addressed</w:t>
              <w:br/>
              <w:t>(d) If applicable, describe analytical methods taking account of sampling strategy</w:t>
              <w:br/>
              <w:t>(e) Describe any sensitivity analyses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6"/>
              </w:rPr>
              <w:t>(a) Methods, Statistical analysis: Kruskal–Wallis, Mann–Whitney U, five regression models</w:t>
              <w:br/>
              <w:t>(b) Tohoku vs non-Tohoku comparisons; regional block analysis</w:t>
              <w:br/>
              <w:t>(c) NDB suppresses cells &lt;10; population-complete data minimizes missingness</w:t>
              <w:br/>
              <w:t>(d) N/A (population-complete, not sampled)</w:t>
              <w:br/>
              <w:t>(e) Models 2–5 as sensitivity analyses with different outcome definitions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18"/>
              </w:rPr>
              <w:t>Results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Participants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16"/>
              </w:rPr>
              <w:t>Report numbers of individuals at each stage of study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6"/>
              </w:rPr>
              <w:t>Results, Phase 1: 7,903,515 procedures, 274,579,851 analgesic units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Descriptive data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16"/>
              </w:rPr>
              <w:t>Give characteristics of study participants and information on exposures and potential confounders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6"/>
              </w:rPr>
              <w:t>Results: Table 1 (regional summary), confounder correlations (Fig. 2)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Outcome data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16"/>
              </w:rPr>
              <w:t>Report numbers of outcome events or summary measures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6"/>
              </w:rPr>
              <w:t>Results: analgesic-per-surgery index range 25.20–49.75; neuropathic pain index by prefecture (Fig. 1)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Main results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16"/>
              </w:rPr>
              <w:t>16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16"/>
              </w:rPr>
              <w:t>Give unadjusted estimates and, if applicable, confounder-adjusted estimates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6"/>
              </w:rPr>
              <w:t>Results: unadjusted (d = 2.81, P &lt; 0.001) and adjusted (d = 0.44, P = 0.323); Table 2, Table 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Other analyses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16"/>
              </w:rPr>
              <w:t>17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16"/>
              </w:rPr>
              <w:t>Report other analyses done—e.g., analyses of subgroups and interactions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6"/>
              </w:rPr>
              <w:t>Results: Phase 1–Phase 2 integration (Fig. 5), Z-score heatmap (SFig. 1)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18"/>
              </w:rPr>
              <w:t>Discussion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Key results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16"/>
              </w:rPr>
              <w:t>18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16"/>
              </w:rPr>
              <w:t>Summarise key results with reference to study objectives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6"/>
              </w:rPr>
              <w:t>Discussion, paragraph 1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Limitations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16"/>
              </w:rPr>
              <w:t>19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16"/>
              </w:rPr>
              <w:t>Discuss limitations of the study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6"/>
              </w:rPr>
              <w:t>Discussion, Strengths and limitations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Interpretation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16"/>
              </w:rPr>
              <w:t>20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16"/>
              </w:rPr>
              <w:t>Give a cautious overall interpretation of results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6"/>
              </w:rPr>
              <w:t>Discussion: regional variation, confounders, clinical implications, conclusion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Generalisability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16"/>
              </w:rPr>
              <w:t>21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16"/>
              </w:rPr>
              <w:t>Discuss the generalisability (external validity) of the study results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6"/>
              </w:rPr>
              <w:t>Discussion: clinical implications extend beyond Japan; Implications and future directions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18"/>
              </w:rPr>
              <w:t>Other information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16"/>
              </w:rPr>
              <w:t>Funding</w:t>
            </w:r>
          </w:p>
        </w:tc>
        <w:tc>
          <w:tcPr>
            <w:tcW w:type="dxa" w:w="850"/>
          </w:tcPr>
          <w:p>
            <w:r>
              <w:rPr>
                <w:rFonts w:ascii="Times New Roman" w:hAnsi="Times New Roman"/>
                <w:sz w:val="16"/>
              </w:rPr>
              <w:t>22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16"/>
              </w:rPr>
              <w:t>Give the source of funding and the role of the funders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16"/>
              </w:rPr>
              <w:t>Acknowledgments: no specific funding disclosed</w:t>
            </w:r>
          </w:p>
        </w:tc>
      </w:tr>
    </w:tbl>
    <w:p/>
    <w:p>
      <w:r>
        <w:rPr>
          <w:i/>
          <w:sz w:val="16"/>
        </w:rPr>
        <w:t>Reference: von Elm E, et al. The STROBE statement: guidelines for reporting observational studies. Lancet 2007;370:1453–1457. Extended with RECORD recommendations: Benchimol EI, et al. PLoS Med 2015;12:e1001885.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