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Table 2</w:t>
      </w:r>
    </w:p>
    <w:p>
      <w:r>
        <w:rPr>
          <w:i/>
        </w:rPr>
        <w:t>Phase 2: Regression models for outpatient neuropathic pain prescribing with Tohoku indicator and confounder adjustment.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Dependent variable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Tohoku coefficient / effect size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P value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Model 1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Unadjusted t-test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d = 2.806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7.40e-08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Neuropathic pain drugs / surgery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32.6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0.1501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Core neuropathic drugs (PGB+MGB)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15.7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0.2292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Nerve blocks / surgery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0.08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0.8631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Neuropathic pain drugs (acute + confounder adj.)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31.5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0.1488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Adj CPSP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Confounder-removed residual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 = 0.437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0.3230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</w:tbl>
    <w:p/>
    <w:p>
      <w:r>
        <w:rPr>
          <w:i/>
          <w:sz w:val="16"/>
        </w:rPr>
        <w:t>*** P &lt; 0.001; ns = not significant. Models 2–5: multiple linear regression with Tohoku indicator (binary) and confounder disease proxies. Adj CPSP: adjusted CPSP index derived as residuals from regressing neuropathic pain prescribing on four confounder proxies.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