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Table 3</w:t>
      </w:r>
    </w:p>
    <w:p>
      <w:r>
        <w:rPr>
          <w:i/>
        </w:rPr>
        <w:t>Effect of confounder adjustment on Tohoku regional indicators.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Unadjusted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Confounder-adjusted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Change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Interpretation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Cohen's d (Tohoku vs rest)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2.806 (P &lt; 0.001)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0.437 (P = 0.323)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84% attenuation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Large → Small effect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Tohoku mean index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432.8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+12.4 (residual)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Excess largely explained by confounders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Non-Tohoku mean index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282.5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-1.8 (residual)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Reference group</w:t>
            </w:r>
          </w:p>
        </w:tc>
      </w:tr>
    </w:tbl>
    <w:p/>
    <w:p>
      <w:r>
        <w:rPr>
          <w:i/>
          <w:sz w:val="16"/>
        </w:rPr>
        <w:t>Confounders: oral hypoglycemic agents (diabetes proxy), herpes zoster antivirals, antidepressants (excluding duloxetine), and anxiolytics. Adjustment reduced the Tohoku effect by 62% and rendered it nonsignificant.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