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LiNGAM vs スペクトル因果性：UCI心疾患データによる構造比較</w:t>
      </w:r>
    </w:p>
    <w:p>
      <w:pPr>
        <w:pStyle w:val="Heading1"/>
      </w:pPr>
      <w:r>
        <w:rPr>
          <w:b w:val="0"/>
        </w:rPr>
        <w:t>1. 概要</w:t>
      </w:r>
    </w:p>
    <w:p>
      <w:r>
        <w:rPr>
          <w:b w:val="0"/>
        </w:rPr>
        <w:t>UCI Heart Disease Dataset（Cleveland subset, n=297）の5つの連続臨床変数に対して、以下の3条件で因果構造を推定し比較した。</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b/>
                <w:sz w:val="18"/>
              </w:rPr>
              <w:t>条件</w:t>
            </w:r>
          </w:p>
        </w:tc>
        <w:tc>
          <w:tcPr>
            <w:tcW w:type="dxa" w:w="2160"/>
          </w:tcPr>
          <w:p>
            <w:pPr>
              <w:jc w:val="left"/>
            </w:pPr>
            <w:r/>
            <w:r>
              <w:rPr>
                <w:b/>
                <w:sz w:val="18"/>
              </w:rPr>
              <w:t>手法</w:t>
            </w:r>
          </w:p>
        </w:tc>
        <w:tc>
          <w:tcPr>
            <w:tcW w:type="dxa" w:w="2160"/>
          </w:tcPr>
          <w:p>
            <w:pPr>
              <w:jc w:val="left"/>
            </w:pPr>
            <w:r/>
            <w:r>
              <w:rPr>
                <w:b/>
                <w:sz w:val="18"/>
              </w:rPr>
              <w:t>グラフ種類</w:t>
            </w:r>
          </w:p>
        </w:tc>
        <w:tc>
          <w:tcPr>
            <w:tcW w:type="dxa" w:w="2160"/>
          </w:tcPr>
          <w:p>
            <w:pPr>
              <w:jc w:val="left"/>
            </w:pPr>
            <w:r/>
            <w:r>
              <w:rPr>
                <w:b/>
                <w:sz w:val="18"/>
              </w:rPr>
              <w:t>ドメイン知識</w:t>
            </w:r>
          </w:p>
        </w:tc>
      </w:tr>
      <w:tr>
        <w:tc>
          <w:tcPr>
            <w:tcW w:type="dxa" w:w="2160"/>
          </w:tcPr>
          <w:p>
            <w:pPr>
              <w:jc w:val="left"/>
            </w:pPr>
            <w:r/>
            <w:r>
              <w:rPr>
                <w:b/>
                <w:sz w:val="18"/>
              </w:rPr>
              <w:t>(A)</w:t>
            </w:r>
          </w:p>
        </w:tc>
        <w:tc>
          <w:tcPr>
            <w:tcW w:type="dxa" w:w="2160"/>
          </w:tcPr>
          <w:p>
            <w:pPr>
              <w:jc w:val="left"/>
            </w:pPr>
            <w:r/>
            <w:r>
              <w:rPr>
                <w:b w:val="0"/>
                <w:sz w:val="18"/>
              </w:rPr>
              <w:t>DirectLiNGAM</w:t>
            </w:r>
          </w:p>
        </w:tc>
        <w:tc>
          <w:tcPr>
            <w:tcW w:type="dxa" w:w="2160"/>
          </w:tcPr>
          <w:p>
            <w:pPr>
              <w:jc w:val="left"/>
            </w:pPr>
            <w:r/>
            <w:r>
              <w:rPr>
                <w:b w:val="0"/>
                <w:sz w:val="18"/>
              </w:rPr>
              <w:t>DAG（非巡回）</w:t>
            </w:r>
          </w:p>
        </w:tc>
        <w:tc>
          <w:tcPr>
            <w:tcW w:type="dxa" w:w="2160"/>
          </w:tcPr>
          <w:p>
            <w:pPr>
              <w:jc w:val="left"/>
            </w:pPr>
            <w:r/>
            <w:r>
              <w:rPr>
                <w:b w:val="0"/>
                <w:sz w:val="18"/>
              </w:rPr>
              <w:t>不要</w:t>
            </w:r>
          </w:p>
        </w:tc>
      </w:tr>
      <w:tr>
        <w:tc>
          <w:tcPr>
            <w:tcW w:type="dxa" w:w="2160"/>
          </w:tcPr>
          <w:p>
            <w:pPr>
              <w:jc w:val="left"/>
            </w:pPr>
            <w:r/>
            <w:r>
              <w:rPr>
                <w:b/>
                <w:sz w:val="18"/>
              </w:rPr>
              <w:t>(B)</w:t>
            </w:r>
          </w:p>
        </w:tc>
        <w:tc>
          <w:tcPr>
            <w:tcW w:type="dxa" w:w="2160"/>
          </w:tcPr>
          <w:p>
            <w:pPr>
              <w:jc w:val="left"/>
            </w:pPr>
            <w:r/>
            <w:r>
              <w:rPr>
                <w:b w:val="0"/>
                <w:sz w:val="18"/>
              </w:rPr>
              <w:t>スペクトル因果性（α=0.6）</w:t>
            </w:r>
          </w:p>
        </w:tc>
        <w:tc>
          <w:tcPr>
            <w:tcW w:type="dxa" w:w="2160"/>
          </w:tcPr>
          <w:p>
            <w:pPr>
              <w:jc w:val="left"/>
            </w:pPr>
            <w:r/>
            <w:r>
              <w:rPr>
                <w:b w:val="0"/>
                <w:sz w:val="18"/>
              </w:rPr>
              <w:t>DCG（巡回許容）</w:t>
            </w:r>
          </w:p>
        </w:tc>
        <w:tc>
          <w:tcPr>
            <w:tcW w:type="dxa" w:w="2160"/>
          </w:tcPr>
          <w:p>
            <w:pPr>
              <w:jc w:val="left"/>
            </w:pPr>
            <w:r/>
            <w:r>
              <w:rPr>
                <w:b w:val="0"/>
                <w:sz w:val="18"/>
              </w:rPr>
              <w:t>臨床知識60% + データ40%</w:t>
            </w:r>
          </w:p>
        </w:tc>
      </w:tr>
      <w:tr>
        <w:tc>
          <w:tcPr>
            <w:tcW w:type="dxa" w:w="2160"/>
          </w:tcPr>
          <w:p>
            <w:pPr>
              <w:jc w:val="left"/>
            </w:pPr>
            <w:r/>
            <w:r>
              <w:rPr>
                <w:b/>
                <w:sz w:val="18"/>
              </w:rPr>
              <w:t>(C)</w:t>
            </w:r>
          </w:p>
        </w:tc>
        <w:tc>
          <w:tcPr>
            <w:tcW w:type="dxa" w:w="2160"/>
          </w:tcPr>
          <w:p>
            <w:pPr>
              <w:jc w:val="left"/>
            </w:pPr>
            <w:r/>
            <w:r>
              <w:rPr>
                <w:b w:val="0"/>
                <w:sz w:val="18"/>
              </w:rPr>
              <w:t>スペクトル因果性（α=0）</w:t>
            </w:r>
          </w:p>
        </w:tc>
        <w:tc>
          <w:tcPr>
            <w:tcW w:type="dxa" w:w="2160"/>
          </w:tcPr>
          <w:p>
            <w:pPr>
              <w:jc w:val="left"/>
            </w:pPr>
            <w:r/>
            <w:r>
              <w:rPr>
                <w:b w:val="0"/>
                <w:sz w:val="18"/>
              </w:rPr>
              <w:t>DCG（巡回許容）</w:t>
            </w:r>
          </w:p>
        </w:tc>
        <w:tc>
          <w:tcPr>
            <w:tcW w:type="dxa" w:w="2160"/>
          </w:tcPr>
          <w:p>
            <w:pPr>
              <w:jc w:val="left"/>
            </w:pPr>
            <w:r/>
            <w:r>
              <w:rPr>
                <w:b w:val="0"/>
                <w:sz w:val="18"/>
              </w:rPr>
              <w:t>不要（純データ駆動）</w:t>
            </w:r>
          </w:p>
        </w:tc>
      </w:tr>
    </w:tbl>
    <w:p/>
    <w:p>
      <w:r>
        <w:rPr>
          <w:b w:val="0"/>
        </w:rPr>
        <w:t>変数: Age（年齢）, RestBP（安静時血圧）, Chol（コレステロール）, MaxHR（最大心拍数）, STDep（ST低下）</w:t>
      </w:r>
    </w:p>
    <w:p>
      <w:pPr>
        <w:jc w:val="center"/>
      </w:pPr>
      <w:r>
        <w:drawing>
          <wp:inline xmlns:a="http://schemas.openxmlformats.org/drawingml/2006/main" xmlns:pic="http://schemas.openxmlformats.org/drawingml/2006/picture">
            <wp:extent cx="5029200" cy="2187657"/>
            <wp:docPr id="1" name="Picture 1"/>
            <wp:cNvGraphicFramePr>
              <a:graphicFrameLocks noChangeAspect="1"/>
            </wp:cNvGraphicFramePr>
            <a:graphic>
              <a:graphicData uri="http://schemas.openxmlformats.org/drawingml/2006/picture">
                <pic:pic>
                  <pic:nvPicPr>
                    <pic:cNvPr id="0" name="fig7_lingam_vs_spectral.png"/>
                    <pic:cNvPicPr/>
                  </pic:nvPicPr>
                  <pic:blipFill>
                    <a:blip r:embed="rId9"/>
                    <a:stretch>
                      <a:fillRect/>
                    </a:stretch>
                  </pic:blipFill>
                  <pic:spPr>
                    <a:xfrm>
                      <a:off x="0" y="0"/>
                      <a:ext cx="5029200" cy="2187657"/>
                    </a:xfrm>
                    <a:prstGeom prst="rect"/>
                  </pic:spPr>
                </pic:pic>
              </a:graphicData>
            </a:graphic>
          </wp:inline>
        </w:drawing>
      </w:r>
    </w:p>
    <w:p>
      <w:pPr>
        <w:spacing w:before="120" w:after="240"/>
        <w:jc w:val="center"/>
      </w:pPr>
      <w:r>
        <w:rPr>
          <w:b w:val="0"/>
          <w:i/>
          <w:sz w:val="18"/>
        </w:rPr>
        <w:t>図7: 3条件での因果構造比較。(A) LiNGAMはDAG仮定の下で6本の因果辺を推定。(B) スペクトル因果性（α=0.6）は9本の有向辺を含むDCGを推定（循環あり）。(C) α=0（純データ駆動）では方向性信号がゼロとなり辺を検出できない。</w:t>
      </w:r>
    </w:p>
    <w:p>
      <w:pPr>
        <w:pStyle w:val="Heading1"/>
      </w:pPr>
      <w:r>
        <w:rPr>
          <w:b w:val="0"/>
        </w:rPr>
        <w:t>2. 各条件の推定結果</w:t>
      </w:r>
    </w:p>
    <w:p>
      <w:pPr>
        <w:pStyle w:val="Heading2"/>
      </w:pPr>
      <w:r>
        <w:rPr>
          <w:b w:val="0"/>
        </w:rPr>
        <w:t>(A) LiNGAM DAG</w:t>
      </w:r>
    </w:p>
    <w:p>
      <w:r>
        <w:rPr>
          <w:b w:val="0"/>
        </w:rPr>
        <w:t>DirectLiNGAMにより推定された因果順序と主要な因果効果：</w:t>
      </w:r>
    </w:p>
    <w:p>
      <w:r>
        <w:rPr>
          <w:b/>
        </w:rPr>
        <w:t>因果順序</w:t>
      </w:r>
      <w:r>
        <w:rPr>
          <w:b w:val="0"/>
        </w:rPr>
        <w:t>: Age → MaxHR → STDep → RestBP → Chol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辺</w:t>
            </w:r>
          </w:p>
        </w:tc>
        <w:tc>
          <w:tcPr>
            <w:tcW w:type="dxa" w:w="2880"/>
          </w:tcPr>
          <w:p>
            <w:pPr>
              <w:jc w:val="left"/>
            </w:pPr>
            <w:r/>
            <w:r>
              <w:rPr>
                <w:b/>
                <w:sz w:val="18"/>
              </w:rPr>
              <w:t>効果量</w:t>
            </w:r>
          </w:p>
        </w:tc>
        <w:tc>
          <w:tcPr>
            <w:tcW w:type="dxa" w:w="2880"/>
          </w:tcPr>
          <w:p>
            <w:pPr>
              <w:jc w:val="left"/>
            </w:pPr>
            <w:r/>
            <w:r>
              <w:rPr>
                <w:b/>
                <w:sz w:val="18"/>
              </w:rPr>
              <w:t>臨床的解釈</w:t>
            </w:r>
          </w:p>
        </w:tc>
      </w:tr>
      <w:tr>
        <w:tc>
          <w:tcPr>
            <w:tcW w:type="dxa" w:w="2880"/>
          </w:tcPr>
          <w:p>
            <w:pPr>
              <w:jc w:val="left"/>
            </w:pPr>
            <w:r/>
            <w:r>
              <w:rPr>
                <w:b w:val="0"/>
                <w:sz w:val="18"/>
              </w:rPr>
              <w:t>Age → MaxHR</w:t>
            </w:r>
          </w:p>
        </w:tc>
        <w:tc>
          <w:tcPr>
            <w:tcW w:type="dxa" w:w="2880"/>
          </w:tcPr>
          <w:p>
            <w:pPr>
              <w:jc w:val="left"/>
            </w:pPr>
            <w:r/>
            <w:r>
              <w:rPr>
                <w:b w:val="0"/>
                <w:sz w:val="18"/>
              </w:rPr>
              <w:t>−0.395</w:t>
            </w:r>
          </w:p>
        </w:tc>
        <w:tc>
          <w:tcPr>
            <w:tcW w:type="dxa" w:w="2880"/>
          </w:tcPr>
          <w:p>
            <w:pPr>
              <w:jc w:val="left"/>
            </w:pPr>
            <w:r/>
            <w:r>
              <w:rPr>
                <w:b w:val="0"/>
                <w:sz w:val="18"/>
              </w:rPr>
              <w:t>加齢による最大心拍数の低下</w:t>
            </w:r>
          </w:p>
        </w:tc>
      </w:tr>
      <w:tr>
        <w:tc>
          <w:tcPr>
            <w:tcW w:type="dxa" w:w="2880"/>
          </w:tcPr>
          <w:p>
            <w:pPr>
              <w:jc w:val="left"/>
            </w:pPr>
            <w:r/>
            <w:r>
              <w:rPr>
                <w:b w:val="0"/>
                <w:sz w:val="18"/>
              </w:rPr>
              <w:t>Age → RestBP</w:t>
            </w:r>
          </w:p>
        </w:tc>
        <w:tc>
          <w:tcPr>
            <w:tcW w:type="dxa" w:w="2880"/>
          </w:tcPr>
          <w:p>
            <w:pPr>
              <w:jc w:val="left"/>
            </w:pPr>
            <w:r/>
            <w:r>
              <w:rPr>
                <w:b w:val="0"/>
                <w:sz w:val="18"/>
              </w:rPr>
              <w:t>+0.309</w:t>
            </w:r>
          </w:p>
        </w:tc>
        <w:tc>
          <w:tcPr>
            <w:tcW w:type="dxa" w:w="2880"/>
          </w:tcPr>
          <w:p>
            <w:pPr>
              <w:jc w:val="left"/>
            </w:pPr>
            <w:r/>
            <w:r>
              <w:rPr>
                <w:b w:val="0"/>
                <w:sz w:val="18"/>
              </w:rPr>
              <w:t>加齢による血圧上昇</w:t>
            </w:r>
          </w:p>
        </w:tc>
      </w:tr>
      <w:tr>
        <w:tc>
          <w:tcPr>
            <w:tcW w:type="dxa" w:w="2880"/>
          </w:tcPr>
          <w:p>
            <w:pPr>
              <w:jc w:val="left"/>
            </w:pPr>
            <w:r/>
            <w:r>
              <w:rPr>
                <w:b w:val="0"/>
                <w:sz w:val="18"/>
              </w:rPr>
              <w:t>Age → Chol</w:t>
            </w:r>
          </w:p>
        </w:tc>
        <w:tc>
          <w:tcPr>
            <w:tcW w:type="dxa" w:w="2880"/>
          </w:tcPr>
          <w:p>
            <w:pPr>
              <w:jc w:val="left"/>
            </w:pPr>
            <w:r/>
            <w:r>
              <w:rPr>
                <w:b w:val="0"/>
                <w:sz w:val="18"/>
              </w:rPr>
              <w:t>+0.203</w:t>
            </w:r>
          </w:p>
        </w:tc>
        <w:tc>
          <w:tcPr>
            <w:tcW w:type="dxa" w:w="2880"/>
          </w:tcPr>
          <w:p>
            <w:pPr>
              <w:jc w:val="left"/>
            </w:pPr>
            <w:r/>
            <w:r>
              <w:rPr>
                <w:b w:val="0"/>
                <w:sz w:val="18"/>
              </w:rPr>
              <w:t>加齢によるコレステロール上昇</w:t>
            </w:r>
          </w:p>
        </w:tc>
      </w:tr>
      <w:tr>
        <w:tc>
          <w:tcPr>
            <w:tcW w:type="dxa" w:w="2880"/>
          </w:tcPr>
          <w:p>
            <w:pPr>
              <w:jc w:val="left"/>
            </w:pPr>
            <w:r/>
            <w:r>
              <w:rPr>
                <w:b w:val="0"/>
                <w:sz w:val="18"/>
              </w:rPr>
              <w:t>MaxHR → STDep</w:t>
            </w:r>
          </w:p>
        </w:tc>
        <w:tc>
          <w:tcPr>
            <w:tcW w:type="dxa" w:w="2880"/>
          </w:tcPr>
          <w:p>
            <w:pPr>
              <w:jc w:val="left"/>
            </w:pPr>
            <w:r/>
            <w:r>
              <w:rPr>
                <w:b w:val="0"/>
                <w:sz w:val="18"/>
              </w:rPr>
              <w:t>−0.348</w:t>
            </w:r>
          </w:p>
        </w:tc>
        <w:tc>
          <w:tcPr>
            <w:tcW w:type="dxa" w:w="2880"/>
          </w:tcPr>
          <w:p>
            <w:pPr>
              <w:jc w:val="left"/>
            </w:pPr>
            <w:r/>
            <w:r>
              <w:rPr>
                <w:b w:val="0"/>
                <w:sz w:val="18"/>
              </w:rPr>
              <w:t>運動耐容能低下による虚血悪化</w:t>
            </w:r>
          </w:p>
        </w:tc>
      </w:tr>
      <w:tr>
        <w:tc>
          <w:tcPr>
            <w:tcW w:type="dxa" w:w="2880"/>
          </w:tcPr>
          <w:p>
            <w:pPr>
              <w:jc w:val="left"/>
            </w:pPr>
            <w:r/>
            <w:r>
              <w:rPr>
                <w:b w:val="0"/>
                <w:sz w:val="18"/>
              </w:rPr>
              <w:t>STDep → RestBP</w:t>
            </w:r>
          </w:p>
        </w:tc>
        <w:tc>
          <w:tcPr>
            <w:tcW w:type="dxa" w:w="2880"/>
          </w:tcPr>
          <w:p>
            <w:pPr>
              <w:jc w:val="left"/>
            </w:pPr>
            <w:r/>
            <w:r>
              <w:rPr>
                <w:b w:val="0"/>
                <w:sz w:val="18"/>
              </w:rPr>
              <w:t>+0.177</w:t>
            </w:r>
          </w:p>
        </w:tc>
        <w:tc>
          <w:tcPr>
            <w:tcW w:type="dxa" w:w="2880"/>
          </w:tcPr>
          <w:p>
            <w:pPr>
              <w:jc w:val="left"/>
            </w:pPr>
            <w:r/>
            <w:r>
              <w:rPr>
                <w:b w:val="0"/>
                <w:sz w:val="18"/>
              </w:rPr>
              <w:t>虚血と血圧の関連</w:t>
            </w:r>
          </w:p>
        </w:tc>
      </w:tr>
      <w:tr>
        <w:tc>
          <w:tcPr>
            <w:tcW w:type="dxa" w:w="2880"/>
          </w:tcPr>
          <w:p>
            <w:pPr>
              <w:jc w:val="left"/>
            </w:pPr>
            <w:r/>
            <w:r>
              <w:rPr>
                <w:b w:val="0"/>
                <w:sz w:val="18"/>
              </w:rPr>
              <w:t>MaxHR → RestBP</w:t>
            </w:r>
          </w:p>
        </w:tc>
        <w:tc>
          <w:tcPr>
            <w:tcW w:type="dxa" w:w="2880"/>
          </w:tcPr>
          <w:p>
            <w:pPr>
              <w:jc w:val="left"/>
            </w:pPr>
            <w:r/>
            <w:r>
              <w:rPr>
                <w:b w:val="0"/>
                <w:sz w:val="18"/>
              </w:rPr>
              <w:t>+0.134</w:t>
            </w:r>
          </w:p>
        </w:tc>
        <w:tc>
          <w:tcPr>
            <w:tcW w:type="dxa" w:w="2880"/>
          </w:tcPr>
          <w:p>
            <w:pPr>
              <w:jc w:val="left"/>
            </w:pPr>
            <w:r/>
            <w:r>
              <w:rPr>
                <w:b w:val="0"/>
                <w:sz w:val="18"/>
              </w:rPr>
              <w:t>心機能と血圧の関連</w:t>
            </w:r>
          </w:p>
        </w:tc>
      </w:tr>
    </w:tbl>
    <w:p/>
    <w:p>
      <w:pPr>
        <w:pStyle w:val="ListBullet"/>
      </w:pPr>
      <w:r>
        <w:rPr>
          <w:b w:val="0"/>
        </w:rPr>
        <w:t>仮定: 線形、非ガウス、DAG（非巡回）、共通原因なし</w:t>
      </w:r>
    </w:p>
    <w:p>
      <w:pPr>
        <w:pStyle w:val="ListBullet"/>
      </w:pPr>
      <w:r>
        <w:rPr>
          <w:b w:val="0"/>
        </w:rPr>
        <w:t xml:space="preserve">ドメイン知識: </w:t>
      </w:r>
      <w:r>
        <w:rPr>
          <w:b/>
        </w:rPr>
        <w:t>不要</w:t>
      </w:r>
      <w:r>
        <w:rPr>
          <w:b w:val="0"/>
        </w:rPr>
        <w:t>（データの統計的性質のみで因果方向を同定）</w:t>
      </w:r>
    </w:p>
    <w:p>
      <w:pPr>
        <w:pStyle w:val="ListBullet"/>
      </w:pPr>
      <w:r>
        <w:rPr>
          <w:b w:val="0"/>
        </w:rPr>
        <w:t xml:space="preserve">辺の数: </w:t>
      </w:r>
      <w:r>
        <w:rPr>
          <w:b/>
        </w:rPr>
        <w:t>6本</w:t>
      </w:r>
      <w:r>
        <w:rPr>
          <w:b w:val="0"/>
        </w:rPr>
        <w:t>（非巡回制約下で可能な最大数に近い）</w:t>
      </w:r>
    </w:p>
    <w:p>
      <w:pPr>
        <w:pStyle w:val="Heading2"/>
      </w:pPr>
      <w:r>
        <w:rPr>
          <w:b w:val="0"/>
        </w:rPr>
        <w:t>(B) スペクトル因果性 DCG（α=0.6, ドメイン知識あり）</w:t>
      </w:r>
    </w:p>
    <w:p>
      <w:r>
        <w:rPr>
          <w:b w:val="0"/>
        </w:rPr>
        <w:t>磁気ラプラシアンのSCD（Spectral Causal Direction）に基づく因果方向：</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辺</w:t>
            </w:r>
          </w:p>
        </w:tc>
        <w:tc>
          <w:tcPr>
            <w:tcW w:type="dxa" w:w="2880"/>
          </w:tcPr>
          <w:p>
            <w:pPr>
              <w:jc w:val="left"/>
            </w:pPr>
            <w:r/>
            <w:r>
              <w:rPr>
                <w:b/>
                <w:sz w:val="18"/>
              </w:rPr>
              <w:t>SCD値</w:t>
            </w:r>
          </w:p>
        </w:tc>
        <w:tc>
          <w:tcPr>
            <w:tcW w:type="dxa" w:w="2880"/>
          </w:tcPr>
          <w:p>
            <w:pPr>
              <w:jc w:val="left"/>
            </w:pPr>
            <w:r/>
            <w:r>
              <w:rPr>
                <w:b/>
                <w:sz w:val="18"/>
              </w:rPr>
              <w:t>LiNGAMとの一致</w:t>
            </w:r>
          </w:p>
        </w:tc>
      </w:tr>
      <w:tr>
        <w:tc>
          <w:tcPr>
            <w:tcW w:type="dxa" w:w="2880"/>
          </w:tcPr>
          <w:p>
            <w:pPr>
              <w:jc w:val="left"/>
            </w:pPr>
            <w:r/>
            <w:r>
              <w:rPr>
                <w:b w:val="0"/>
                <w:sz w:val="18"/>
              </w:rPr>
              <w:t>RestBP → Age</w:t>
            </w:r>
          </w:p>
        </w:tc>
        <w:tc>
          <w:tcPr>
            <w:tcW w:type="dxa" w:w="2880"/>
          </w:tcPr>
          <w:p>
            <w:pPr>
              <w:jc w:val="left"/>
            </w:pPr>
            <w:r/>
            <w:r>
              <w:rPr>
                <w:b w:val="0"/>
                <w:sz w:val="18"/>
              </w:rPr>
              <w:t>+0.329</w:t>
            </w:r>
          </w:p>
        </w:tc>
        <w:tc>
          <w:tcPr>
            <w:tcW w:type="dxa" w:w="2880"/>
          </w:tcPr>
          <w:p>
            <w:pPr>
              <w:jc w:val="left"/>
            </w:pPr>
            <w:r/>
            <w:r>
              <w:rPr>
                <w:b/>
                <w:sz w:val="18"/>
              </w:rPr>
              <w:t>逆方向</w:t>
            </w:r>
            <w:r>
              <w:rPr>
                <w:b w:val="0"/>
                <w:sz w:val="18"/>
              </w:rPr>
              <w:t>（LiNGAM: Age → RestBP）</w:t>
            </w:r>
          </w:p>
        </w:tc>
      </w:tr>
      <w:tr>
        <w:tc>
          <w:tcPr>
            <w:tcW w:type="dxa" w:w="2880"/>
          </w:tcPr>
          <w:p>
            <w:pPr>
              <w:jc w:val="left"/>
            </w:pPr>
            <w:r/>
            <w:r>
              <w:rPr>
                <w:b w:val="0"/>
                <w:sz w:val="18"/>
              </w:rPr>
              <w:t>Chol → Age</w:t>
            </w:r>
          </w:p>
        </w:tc>
        <w:tc>
          <w:tcPr>
            <w:tcW w:type="dxa" w:w="2880"/>
          </w:tcPr>
          <w:p>
            <w:pPr>
              <w:jc w:val="left"/>
            </w:pPr>
            <w:r/>
            <w:r>
              <w:rPr>
                <w:b w:val="0"/>
                <w:sz w:val="18"/>
              </w:rPr>
              <w:t>+0.289</w:t>
            </w:r>
          </w:p>
        </w:tc>
        <w:tc>
          <w:tcPr>
            <w:tcW w:type="dxa" w:w="2880"/>
          </w:tcPr>
          <w:p>
            <w:pPr>
              <w:jc w:val="left"/>
            </w:pPr>
            <w:r/>
            <w:r>
              <w:rPr>
                <w:b/>
                <w:sz w:val="18"/>
              </w:rPr>
              <w:t>逆方向</w:t>
            </w:r>
            <w:r>
              <w:rPr>
                <w:b w:val="0"/>
                <w:sz w:val="18"/>
              </w:rPr>
              <w:t>（LiNGAM: Age → Chol）</w:t>
            </w:r>
          </w:p>
        </w:tc>
      </w:tr>
      <w:tr>
        <w:tc>
          <w:tcPr>
            <w:tcW w:type="dxa" w:w="2880"/>
          </w:tcPr>
          <w:p>
            <w:pPr>
              <w:jc w:val="left"/>
            </w:pPr>
            <w:r/>
            <w:r>
              <w:rPr>
                <w:b w:val="0"/>
                <w:sz w:val="18"/>
              </w:rPr>
              <w:t>MaxHR → Age</w:t>
            </w:r>
          </w:p>
        </w:tc>
        <w:tc>
          <w:tcPr>
            <w:tcW w:type="dxa" w:w="2880"/>
          </w:tcPr>
          <w:p>
            <w:pPr>
              <w:jc w:val="left"/>
            </w:pPr>
            <w:r/>
            <w:r>
              <w:rPr>
                <w:b w:val="0"/>
                <w:sz w:val="18"/>
              </w:rPr>
              <w:t>+0.342</w:t>
            </w:r>
          </w:p>
        </w:tc>
        <w:tc>
          <w:tcPr>
            <w:tcW w:type="dxa" w:w="2880"/>
          </w:tcPr>
          <w:p>
            <w:pPr>
              <w:jc w:val="left"/>
            </w:pPr>
            <w:r/>
            <w:r>
              <w:rPr>
                <w:b/>
                <w:sz w:val="18"/>
              </w:rPr>
              <w:t>逆方向</w:t>
            </w:r>
            <w:r>
              <w:rPr>
                <w:b w:val="0"/>
                <w:sz w:val="18"/>
              </w:rPr>
              <w:t>（LiNGAM: Age → MaxHR）</w:t>
            </w:r>
          </w:p>
        </w:tc>
      </w:tr>
      <w:tr>
        <w:tc>
          <w:tcPr>
            <w:tcW w:type="dxa" w:w="2880"/>
          </w:tcPr>
          <w:p>
            <w:pPr>
              <w:jc w:val="left"/>
            </w:pPr>
            <w:r/>
            <w:r>
              <w:rPr>
                <w:b w:val="0"/>
                <w:sz w:val="18"/>
              </w:rPr>
              <w:t>STDep → Age</w:t>
            </w:r>
          </w:p>
        </w:tc>
        <w:tc>
          <w:tcPr>
            <w:tcW w:type="dxa" w:w="2880"/>
          </w:tcPr>
          <w:p>
            <w:pPr>
              <w:jc w:val="left"/>
            </w:pPr>
            <w:r/>
            <w:r>
              <w:rPr>
                <w:b w:val="0"/>
                <w:sz w:val="18"/>
              </w:rPr>
              <w:t>+0.178</w:t>
            </w:r>
          </w:p>
        </w:tc>
        <w:tc>
          <w:tcPr>
            <w:tcW w:type="dxa" w:w="2880"/>
          </w:tcPr>
          <w:p>
            <w:pPr>
              <w:jc w:val="left"/>
            </w:pPr>
            <w:r/>
            <w:r>
              <w:rPr>
                <w:b w:val="0"/>
                <w:sz w:val="18"/>
              </w:rPr>
              <w:t>LiNGAMに直接辺なし</w:t>
            </w:r>
          </w:p>
        </w:tc>
      </w:tr>
      <w:tr>
        <w:tc>
          <w:tcPr>
            <w:tcW w:type="dxa" w:w="2880"/>
          </w:tcPr>
          <w:p>
            <w:pPr>
              <w:jc w:val="left"/>
            </w:pPr>
            <w:r/>
            <w:r>
              <w:rPr>
                <w:b w:val="0"/>
                <w:sz w:val="18"/>
              </w:rPr>
              <w:t>RestBP → Chol</w:t>
            </w:r>
          </w:p>
        </w:tc>
        <w:tc>
          <w:tcPr>
            <w:tcW w:type="dxa" w:w="2880"/>
          </w:tcPr>
          <w:p>
            <w:pPr>
              <w:jc w:val="left"/>
            </w:pPr>
            <w:r/>
            <w:r>
              <w:rPr>
                <w:b w:val="0"/>
                <w:sz w:val="18"/>
              </w:rPr>
              <w:t>+0.272</w:t>
            </w:r>
          </w:p>
        </w:tc>
        <w:tc>
          <w:tcPr>
            <w:tcW w:type="dxa" w:w="2880"/>
          </w:tcPr>
          <w:p>
            <w:pPr>
              <w:jc w:val="left"/>
            </w:pPr>
            <w:r/>
            <w:r>
              <w:rPr>
                <w:b w:val="0"/>
                <w:sz w:val="18"/>
              </w:rPr>
              <w:t>LiNGAMに直接辺なし</w:t>
            </w:r>
          </w:p>
        </w:tc>
      </w:tr>
      <w:tr>
        <w:tc>
          <w:tcPr>
            <w:tcW w:type="dxa" w:w="2880"/>
          </w:tcPr>
          <w:p>
            <w:pPr>
              <w:jc w:val="left"/>
            </w:pPr>
            <w:r/>
            <w:r>
              <w:rPr>
                <w:b w:val="0"/>
                <w:sz w:val="18"/>
              </w:rPr>
              <w:t>MaxHR → RestBP</w:t>
            </w:r>
          </w:p>
        </w:tc>
        <w:tc>
          <w:tcPr>
            <w:tcW w:type="dxa" w:w="2880"/>
          </w:tcPr>
          <w:p>
            <w:pPr>
              <w:jc w:val="left"/>
            </w:pPr>
            <w:r/>
            <w:r>
              <w:rPr>
                <w:b w:val="0"/>
                <w:sz w:val="18"/>
              </w:rPr>
              <w:t>+0.184</w:t>
            </w:r>
          </w:p>
        </w:tc>
        <w:tc>
          <w:tcPr>
            <w:tcW w:type="dxa" w:w="2880"/>
          </w:tcPr>
          <w:p>
            <w:pPr>
              <w:jc w:val="left"/>
            </w:pPr>
            <w:r/>
            <w:r>
              <w:rPr>
                <w:b/>
                <w:sz w:val="18"/>
              </w:rPr>
              <w:t>逆方向</w:t>
            </w:r>
            <w:r>
              <w:rPr>
                <w:b w:val="0"/>
                <w:sz w:val="18"/>
              </w:rPr>
              <w:t>（LiNGAM: RestBP非明示）</w:t>
            </w:r>
          </w:p>
        </w:tc>
      </w:tr>
      <w:tr>
        <w:tc>
          <w:tcPr>
            <w:tcW w:type="dxa" w:w="2880"/>
          </w:tcPr>
          <w:p>
            <w:pPr>
              <w:jc w:val="left"/>
            </w:pPr>
            <w:r/>
            <w:r>
              <w:rPr>
                <w:b w:val="0"/>
                <w:sz w:val="18"/>
              </w:rPr>
              <w:t>STDep → RestBP</w:t>
            </w:r>
          </w:p>
        </w:tc>
        <w:tc>
          <w:tcPr>
            <w:tcW w:type="dxa" w:w="2880"/>
          </w:tcPr>
          <w:p>
            <w:pPr>
              <w:jc w:val="left"/>
            </w:pPr>
            <w:r/>
            <w:r>
              <w:rPr>
                <w:b w:val="0"/>
                <w:sz w:val="18"/>
              </w:rPr>
              <w:t>+0.255</w:t>
            </w:r>
          </w:p>
        </w:tc>
        <w:tc>
          <w:tcPr>
            <w:tcW w:type="dxa" w:w="2880"/>
          </w:tcPr>
          <w:p>
            <w:pPr>
              <w:jc w:val="left"/>
            </w:pPr>
            <w:r/>
            <w:r>
              <w:rPr>
                <w:b/>
                <w:sz w:val="18"/>
              </w:rPr>
              <w:t>逆方向</w:t>
            </w:r>
            <w:r>
              <w:rPr>
                <w:b w:val="0"/>
                <w:sz w:val="18"/>
              </w:rPr>
              <w:t>（LiNGAM: STDep → RestBP は一致方向）</w:t>
            </w:r>
          </w:p>
        </w:tc>
      </w:tr>
      <w:tr>
        <w:tc>
          <w:tcPr>
            <w:tcW w:type="dxa" w:w="2880"/>
          </w:tcPr>
          <w:p>
            <w:pPr>
              <w:jc w:val="left"/>
            </w:pPr>
            <w:r/>
            <w:r>
              <w:rPr>
                <w:b w:val="0"/>
                <w:sz w:val="18"/>
              </w:rPr>
              <w:t>STDep → Chol</w:t>
            </w:r>
          </w:p>
        </w:tc>
        <w:tc>
          <w:tcPr>
            <w:tcW w:type="dxa" w:w="2880"/>
          </w:tcPr>
          <w:p>
            <w:pPr>
              <w:jc w:val="left"/>
            </w:pPr>
            <w:r/>
            <w:r>
              <w:rPr>
                <w:b w:val="0"/>
                <w:sz w:val="18"/>
              </w:rPr>
              <w:t>+0.148</w:t>
            </w:r>
          </w:p>
        </w:tc>
        <w:tc>
          <w:tcPr>
            <w:tcW w:type="dxa" w:w="2880"/>
          </w:tcPr>
          <w:p>
            <w:pPr>
              <w:jc w:val="left"/>
            </w:pPr>
            <w:r/>
            <w:r>
              <w:rPr>
                <w:b w:val="0"/>
                <w:sz w:val="18"/>
              </w:rPr>
              <w:t>LiNGAMに直接辺なし</w:t>
            </w:r>
          </w:p>
        </w:tc>
      </w:tr>
      <w:tr>
        <w:tc>
          <w:tcPr>
            <w:tcW w:type="dxa" w:w="2880"/>
          </w:tcPr>
          <w:p>
            <w:pPr>
              <w:jc w:val="left"/>
            </w:pPr>
            <w:r/>
            <w:r>
              <w:rPr>
                <w:b w:val="0"/>
                <w:sz w:val="18"/>
              </w:rPr>
              <w:t>STDep → MaxHR</w:t>
            </w:r>
          </w:p>
        </w:tc>
        <w:tc>
          <w:tcPr>
            <w:tcW w:type="dxa" w:w="2880"/>
          </w:tcPr>
          <w:p>
            <w:pPr>
              <w:jc w:val="left"/>
            </w:pPr>
            <w:r/>
            <w:r>
              <w:rPr>
                <w:b w:val="0"/>
                <w:sz w:val="18"/>
              </w:rPr>
              <w:t>+0.396</w:t>
            </w:r>
          </w:p>
        </w:tc>
        <w:tc>
          <w:tcPr>
            <w:tcW w:type="dxa" w:w="2880"/>
          </w:tcPr>
          <w:p>
            <w:pPr>
              <w:jc w:val="left"/>
            </w:pPr>
            <w:r/>
            <w:r>
              <w:rPr>
                <w:b/>
                <w:sz w:val="18"/>
              </w:rPr>
              <w:t>逆方向</w:t>
            </w:r>
            <w:r>
              <w:rPr>
                <w:b w:val="0"/>
                <w:sz w:val="18"/>
              </w:rPr>
              <w:t>（LiNGAM: MaxHR → STDep）</w:t>
            </w:r>
          </w:p>
        </w:tc>
      </w:tr>
    </w:tbl>
    <w:p/>
    <w:p>
      <w:pPr>
        <w:pStyle w:val="ListBullet"/>
      </w:pPr>
      <w:r>
        <w:rPr>
          <w:b w:val="0"/>
        </w:rPr>
        <w:t xml:space="preserve">Hodge分解: </w:t>
      </w:r>
      <w:r>
        <w:rPr>
          <w:b/>
        </w:rPr>
        <w:t>勾配85.9%</w:t>
      </w:r>
      <w:r>
        <w:rPr>
          <w:b w:val="0"/>
        </w:rPr>
        <w:t xml:space="preserve">（DAG的）, </w:t>
      </w:r>
      <w:r>
        <w:rPr>
          <w:b/>
        </w:rPr>
        <w:t>カール14.1%</w:t>
      </w:r>
      <w:r>
        <w:rPr>
          <w:b w:val="0"/>
        </w:rPr>
        <w:t>（フィードバック）</w:t>
      </w:r>
    </w:p>
    <w:p>
      <w:pPr>
        <w:pStyle w:val="ListBullet"/>
      </w:pPr>
      <w:r>
        <w:rPr>
          <w:b w:val="0"/>
        </w:rPr>
        <w:t xml:space="preserve">辺の数: </w:t>
      </w:r>
      <w:r>
        <w:rPr>
          <w:b/>
        </w:rPr>
        <w:t>9本</w:t>
      </w:r>
      <w:r>
        <w:rPr>
          <w:b w:val="0"/>
        </w:rPr>
        <w:t>（循環を含む密なグラフ）</w:t>
      </w:r>
    </w:p>
    <w:p>
      <w:pPr>
        <w:pStyle w:val="ListBullet"/>
      </w:pPr>
      <w:r>
        <w:rPr>
          <w:b w:val="0"/>
        </w:rPr>
        <w:t xml:space="preserve">特徴: </w:t>
      </w:r>
      <w:r>
        <w:rPr>
          <w:b/>
        </w:rPr>
        <w:t>ほぼ全ての辺がLiNGAMと逆方向</w:t>
      </w:r>
    </w:p>
    <w:p>
      <w:pPr>
        <w:pStyle w:val="Heading2"/>
      </w:pPr>
      <w:r>
        <w:rPr>
          <w:b w:val="0"/>
        </w:rPr>
        <w:t>(C) スペクトル因果性 DCG（α=0, 純データ駆動）</w:t>
      </w:r>
    </w:p>
    <w:p>
      <w:r>
        <w:rPr>
          <w:b w:val="0"/>
        </w:rPr>
        <w:t>ドメイン知識を一切使わず、データの相関構造のみから推定：</w:t>
      </w:r>
    </w:p>
    <w:p>
      <w:pPr>
        <w:pStyle w:val="ListBullet"/>
      </w:pPr>
      <w:r>
        <w:rPr>
          <w:b w:val="0"/>
        </w:rPr>
        <w:t xml:space="preserve">Hodge分解: 非対称成分がゼロ（相関行列は対称 </w:t>
      </w:r>
      <w:r>
        <w:rPr>
          <w:rFonts w:ascii="Cambria Math" w:hAnsi="Cambria Math"/>
        </w:rPr>
        <w:t>|ρ</w:t>
      </w:r>
      <w:r>
        <w:rPr>
          <w:rFonts w:ascii="Cambria Math" w:hAnsi="Cambria Math"/>
          <w:vertAlign w:val="subscript"/>
        </w:rPr>
        <w:t>ij</w:t>
      </w:r>
      <w:r>
        <w:rPr>
          <w:rFonts w:ascii="Cambria Math" w:hAnsi="Cambria Math"/>
        </w:rPr>
        <w:t>| = |ρ</w:t>
      </w:r>
      <w:r>
        <w:rPr>
          <w:rFonts w:ascii="Cambria Math" w:hAnsi="Cambria Math"/>
          <w:vertAlign w:val="subscript"/>
        </w:rPr>
        <w:t>ji</w:t>
      </w:r>
      <w:r>
        <w:rPr>
          <w:rFonts w:ascii="Cambria Math" w:hAnsi="Cambria Math"/>
        </w:rPr>
        <w:t>|</w:t>
      </w:r>
      <w:r>
        <w:rPr>
          <w:b w:val="0"/>
        </w:rPr>
        <w:t>）</w:t>
      </w:r>
    </w:p>
    <w:p>
      <w:pPr>
        <w:pStyle w:val="ListBullet"/>
      </w:pPr>
      <w:r>
        <w:rPr>
          <w:b w:val="0"/>
        </w:rPr>
        <w:t xml:space="preserve">辺の数: </w:t>
      </w:r>
      <w:r>
        <w:rPr>
          <w:b/>
        </w:rPr>
        <w:t>0本</w:t>
      </w:r>
      <w:r>
        <w:rPr>
          <w:b w:val="0"/>
        </w:rPr>
        <w:t>（方向性信号なし）</w:t>
      </w:r>
    </w:p>
    <w:p>
      <w:pPr>
        <w:pStyle w:val="ListBullet"/>
      </w:pPr>
      <w:r>
        <w:rPr>
          <w:b w:val="0"/>
        </w:rPr>
        <w:t xml:space="preserve">因果ポテンシャル: 全変数で </w:t>
      </w:r>
      <w:r>
        <w:rPr>
          <w:rFonts w:ascii="Cambria Math" w:hAnsi="Cambria Math"/>
        </w:rPr>
        <w:t>φ = 0</w:t>
      </w:r>
      <w:r>
        <w:rPr>
          <w:b w:val="0"/>
        </w:rPr>
        <w:t>（順序推定不能）</w:t>
      </w:r>
    </w:p>
    <w:p>
      <w:r>
        <w:rPr>
          <w:b/>
        </w:rPr>
        <w:t>注意</w:t>
      </w:r>
      <w:r>
        <w:rPr>
          <w:b w:val="0"/>
        </w:rPr>
        <w:t xml:space="preserve">: 以前のバージョンでは </w:t>
      </w:r>
      <w:r>
        <w:rPr>
          <w:rFonts w:ascii="Courier New" w:hAnsi="Courier New"/>
          <w:b w:val="0"/>
          <w:sz w:val="18"/>
        </w:rPr>
        <w:t>np.sign()</w:t>
      </w:r>
      <w:r>
        <w:rPr>
          <w:b w:val="0"/>
        </w:rPr>
        <w:t xml:space="preserve"> が浮動小数点ノイズ（~10⁻¹⁷）を ±1 に増幅し、見かけ上4本の辺を検出していた。これはアーティファクトであり、閾値ガード（</w:t>
      </w:r>
      <w:r>
        <w:rPr>
          <w:rFonts w:ascii="Courier New" w:hAnsi="Courier New"/>
          <w:b w:val="0"/>
          <w:sz w:val="18"/>
        </w:rPr>
        <w:t>|asymmetry| &gt; 10⁻¹⁰</w:t>
      </w:r>
      <w:r>
        <w:rPr>
          <w:b w:val="0"/>
        </w:rPr>
        <w:t>）を追加して修正した。</w:t>
      </w:r>
    </w:p>
    <w:p>
      <w:pPr>
        <w:pStyle w:val="Heading1"/>
      </w:pPr>
      <w:r>
        <w:rPr>
          <w:b w:val="0"/>
        </w:rPr>
        <w:t>3. 解釈と考察</w:t>
      </w:r>
    </w:p>
    <w:p>
      <w:pPr>
        <w:pStyle w:val="Heading2"/>
      </w:pPr>
      <w:r>
        <w:rPr>
          <w:b w:val="0"/>
        </w:rPr>
        <w:t>3.1 最重要発見：「情報的方向」と「介入的因果」の乖離</w:t>
      </w:r>
    </w:p>
    <w:p>
      <w:r>
        <w:rPr>
          <w:b/>
        </w:rPr>
        <w:t>(B)</w:t>
      </w:r>
      <w:r>
        <w:rPr>
          <w:b w:val="0"/>
        </w:rPr>
        <w:t>の結果で最も際立つのは、スペクトル因果性がLiNGAMとほぼ逆方向を示す点である。これは</w:t>
      </w:r>
      <w:r>
        <w:rPr>
          <w:b/>
        </w:rPr>
        <w:t>バグではなく、捉えている「因果」の種類が異なる</w:t>
      </w:r>
      <w:r>
        <w:rPr>
          <w:b w:val="0"/>
        </w:rPr>
        <w:t>ことを示す。</w:t>
      </w:r>
    </w:p>
    <w:p>
      <w:pPr>
        <w:pStyle w:val="ListBullet"/>
      </w:pPr>
      <w:r>
        <w:rPr>
          <w:b/>
        </w:rPr>
        <w:t>LiNGAM（介入的因果）</w:t>
      </w:r>
      <w:r>
        <w:rPr>
          <w:b w:val="0"/>
        </w:rPr>
        <w:t xml:space="preserve">: 「Ageを操作したらMaxHRが変わる」— </w:t>
      </w:r>
      <w:r>
        <w:rPr>
          <w:b/>
        </w:rPr>
        <w:t>原因 → 結果</w:t>
      </w:r>
      <w:r>
        <w:rPr>
          <w:b w:val="0"/>
        </w:rPr>
        <w:t xml:space="preserve"> の方向</w:t>
      </w:r>
    </w:p>
    <w:p>
      <w:pPr>
        <w:pStyle w:val="ListBullet"/>
      </w:pPr>
      <w:r>
        <w:rPr>
          <w:b/>
        </w:rPr>
        <w:t>スペクトル因果性（情報的因果）</w:t>
      </w:r>
      <w:r>
        <w:rPr>
          <w:b w:val="0"/>
        </w:rPr>
        <w:t xml:space="preserve">: 「MaxHRを知ればAgeについての臨床的問いに答えられる」— </w:t>
      </w:r>
      <w:r>
        <w:rPr>
          <w:b/>
        </w:rPr>
        <w:t>情報提供 → 情報受容</w:t>
      </w:r>
      <w:r>
        <w:rPr>
          <w:b w:val="0"/>
        </w:rPr>
        <w:t xml:space="preserve"> の方向</w:t>
      </w:r>
    </w:p>
    <w:p>
      <w:r>
        <w:rPr>
          <w:b w:val="0"/>
        </w:rPr>
        <w:t>臨床場面で考えると：</w:t>
      </w:r>
    </w:p>
    <w:p>
      <w:pPr>
        <w:pStyle w:val="ListBullet"/>
      </w:pPr>
      <w:r>
        <w:rPr>
          <w:b w:val="0"/>
        </w:rPr>
        <w:t>医師は患者のMaxHRを見て「この人は年齢の割に心機能が…」と推論する（MaxHR → Ageの情報フロー）</w:t>
      </w:r>
    </w:p>
    <w:p>
      <w:pPr>
        <w:pStyle w:val="ListBullet"/>
      </w:pPr>
      <w:r>
        <w:rPr>
          <w:b w:val="0"/>
        </w:rPr>
        <w:t>しかし生物学的因果は加齢が心機能を低下させる（Age → MaxHRの介入的因果）</w:t>
      </w:r>
    </w:p>
    <w:p>
      <w:r>
        <w:rPr>
          <w:b/>
        </w:rPr>
        <w:t>この逆転は、Pearl の因果の梯子における Level 1.5（情報的因果）と Level 2（介入的因果）の本質的な違いを実データで初めて定量的に示した結果</w:t>
      </w:r>
      <w:r>
        <w:rPr>
          <w:b w:val="0"/>
        </w:rPr>
        <w:t>と言える。</w:t>
      </w:r>
    </w:p>
    <w:p>
      <w:pPr>
        <w:pStyle w:val="Heading2"/>
      </w:pPr>
      <w:r>
        <w:rPr>
          <w:b w:val="0"/>
        </w:rPr>
        <w:t>3.2 α=0（純データ駆動）の根本的限界</w:t>
      </w:r>
    </w:p>
    <w:p>
      <w:r>
        <w:rPr>
          <w:b/>
        </w:rPr>
        <w:t>(C)</w:t>
      </w:r>
      <w:r>
        <w:rPr>
          <w:b w:val="0"/>
        </w:rPr>
        <w:t>の結果は根本的な限界を明らかにする：</w:t>
      </w:r>
    </w:p>
    <w:p>
      <w:r>
        <w:rPr>
          <w:b w:val="0"/>
        </w:rPr>
        <w:t xml:space="preserve">相関行列 </w:t>
      </w:r>
      <w:r>
        <w:rPr>
          <w:rFonts w:ascii="Cambria Math" w:hAnsi="Cambria Math"/>
        </w:rPr>
        <w:t>|ρ|</w:t>
      </w:r>
      <w:r>
        <w:rPr>
          <w:b w:val="0"/>
        </w:rPr>
        <w:t xml:space="preserve"> は本質的に対称（</w:t>
      </w:r>
      <w:r>
        <w:rPr>
          <w:rFonts w:ascii="Cambria Math" w:hAnsi="Cambria Math"/>
        </w:rPr>
        <w:t>|ρ</w:t>
      </w:r>
      <w:r>
        <w:rPr>
          <w:rFonts w:ascii="Cambria Math" w:hAnsi="Cambria Math"/>
          <w:vertAlign w:val="subscript"/>
        </w:rPr>
        <w:t>ij</w:t>
      </w:r>
      <w:r>
        <w:rPr>
          <w:rFonts w:ascii="Cambria Math" w:hAnsi="Cambria Math"/>
        </w:rPr>
        <w:t>| = |ρ</w:t>
      </w:r>
      <w:r>
        <w:rPr>
          <w:rFonts w:ascii="Cambria Math" w:hAnsi="Cambria Math"/>
          <w:vertAlign w:val="subscript"/>
        </w:rPr>
        <w:t>ji</w:t>
      </w:r>
      <w:r>
        <w:rPr>
          <w:rFonts w:ascii="Cambria Math" w:hAnsi="Cambria Math"/>
        </w:rPr>
        <w:t>|</w:t>
      </w:r>
      <w:r>
        <w:rPr>
          <w:b w:val="0"/>
        </w:rPr>
        <w:t xml:space="preserve">）であるため、α=0ではユーティリティ行列も完全に対称となり、非対称成分 </w:t>
      </w:r>
      <w:r>
        <w:rPr>
          <w:rFonts w:ascii="Cambria Math" w:hAnsi="Cambria Math"/>
        </w:rPr>
        <w:t>A = U - U</w:t>
      </w:r>
      <w:r>
        <w:rPr>
          <w:rFonts w:ascii="Cambria Math" w:hAnsi="Cambria Math"/>
          <w:vertAlign w:val="superscript"/>
        </w:rPr>
        <w:t>T</w:t>
      </w:r>
      <w:r>
        <w:rPr>
          <w:rFonts w:ascii="Cambria Math" w:hAnsi="Cambria Math"/>
        </w:rPr>
        <w:t xml:space="preserve"> = 0</w:t>
      </w:r>
      <w:r>
        <w:rPr>
          <w:b w:val="0"/>
        </w:rPr>
        <w:t xml:space="preserve"> がゼロとなる。方向性信号がゼロである以上、</w:t>
      </w:r>
      <w:r>
        <w:rPr>
          <w:b/>
        </w:rPr>
        <w:t>スナップショットの相関だけでは因果方向の推定が原理的に不可能</w:t>
      </w:r>
      <w:r>
        <w:rPr>
          <w:b w:val="0"/>
        </w:rPr>
        <w:t>。</w:t>
      </w:r>
    </w:p>
    <w:p>
      <w:r>
        <w:rPr>
          <w:b w:val="0"/>
        </w:rPr>
        <w:t>これはLiNGAMの非ガウス仮定の重要性を裏付ける。LiNGAMは対称な相関ではなく、データの</w:t>
      </w:r>
      <w:r>
        <w:rPr>
          <w:b/>
        </w:rPr>
        <w:t>非ガウス性</w:t>
      </w:r>
      <w:r>
        <w:rPr>
          <w:b w:val="0"/>
        </w:rPr>
        <w:t>（歪度・尖度の差）から方向を同定するため、純データ駆動でもDAGを推定できる。</w:t>
      </w:r>
    </w:p>
    <w:p>
      <w:pPr>
        <w:pStyle w:val="Heading2"/>
      </w:pPr>
      <w:r>
        <w:rPr>
          <w:b w:val="0"/>
        </w:rPr>
        <w:t>3.3 ドメイン知識の効果と副作用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指標</w:t>
            </w:r>
          </w:p>
        </w:tc>
        <w:tc>
          <w:tcPr>
            <w:tcW w:type="dxa" w:w="2880"/>
          </w:tcPr>
          <w:p>
            <w:pPr>
              <w:jc w:val="left"/>
            </w:pPr>
            <w:r/>
            <w:r>
              <w:rPr>
                <w:b/>
                <w:sz w:val="18"/>
              </w:rPr>
              <w:t>α=0.6</w:t>
            </w:r>
          </w:p>
        </w:tc>
        <w:tc>
          <w:tcPr>
            <w:tcW w:type="dxa" w:w="2880"/>
          </w:tcPr>
          <w:p>
            <w:pPr>
              <w:jc w:val="left"/>
            </w:pPr>
            <w:r/>
            <w:r>
              <w:rPr>
                <w:b/>
                <w:sz w:val="18"/>
              </w:rPr>
              <w:t>α=0</w:t>
            </w:r>
          </w:p>
        </w:tc>
      </w:tr>
      <w:tr>
        <w:tc>
          <w:tcPr>
            <w:tcW w:type="dxa" w:w="2880"/>
          </w:tcPr>
          <w:p>
            <w:pPr>
              <w:jc w:val="left"/>
            </w:pPr>
            <w:r/>
            <w:r>
              <w:rPr>
                <w:b w:val="0"/>
                <w:sz w:val="18"/>
              </w:rPr>
              <w:t>検出辺数</w:t>
            </w:r>
          </w:p>
        </w:tc>
        <w:tc>
          <w:tcPr>
            <w:tcW w:type="dxa" w:w="2880"/>
          </w:tcPr>
          <w:p>
            <w:pPr>
              <w:jc w:val="left"/>
            </w:pPr>
            <w:r/>
            <w:r>
              <w:rPr>
                <w:b w:val="0"/>
                <w:sz w:val="18"/>
              </w:rPr>
              <w:t>9</w:t>
            </w:r>
          </w:p>
        </w:tc>
        <w:tc>
          <w:tcPr>
            <w:tcW w:type="dxa" w:w="2880"/>
          </w:tcPr>
          <w:p>
            <w:pPr>
              <w:jc w:val="left"/>
            </w:pPr>
            <w:r/>
            <w:r>
              <w:rPr>
                <w:b w:val="0"/>
                <w:sz w:val="18"/>
              </w:rPr>
              <w:t>0</w:t>
            </w:r>
          </w:p>
        </w:tc>
      </w:tr>
      <w:tr>
        <w:tc>
          <w:tcPr>
            <w:tcW w:type="dxa" w:w="2880"/>
          </w:tcPr>
          <w:p>
            <w:pPr>
              <w:jc w:val="left"/>
            </w:pPr>
            <w:r/>
            <w:r>
              <w:rPr>
                <w:b w:val="0"/>
                <w:sz w:val="18"/>
              </w:rPr>
              <w:t>勾配比率</w:t>
            </w:r>
          </w:p>
        </w:tc>
        <w:tc>
          <w:tcPr>
            <w:tcW w:type="dxa" w:w="2880"/>
          </w:tcPr>
          <w:p>
            <w:pPr>
              <w:jc w:val="left"/>
            </w:pPr>
            <w:r/>
            <w:r>
              <w:rPr>
                <w:b w:val="0"/>
                <w:sz w:val="18"/>
              </w:rPr>
              <w:t>85.9%</w:t>
            </w:r>
          </w:p>
        </w:tc>
        <w:tc>
          <w:tcPr>
            <w:tcW w:type="dxa" w:w="2880"/>
          </w:tcPr>
          <w:p>
            <w:pPr>
              <w:jc w:val="left"/>
            </w:pPr>
            <w:r/>
            <w:r>
              <w:rPr>
                <w:b w:val="0"/>
                <w:sz w:val="18"/>
              </w:rPr>
              <w:t>N/A（非対称成分ゼロ）</w:t>
            </w:r>
          </w:p>
        </w:tc>
      </w:tr>
      <w:tr>
        <w:tc>
          <w:tcPr>
            <w:tcW w:type="dxa" w:w="2880"/>
          </w:tcPr>
          <w:p>
            <w:pPr>
              <w:jc w:val="left"/>
            </w:pPr>
            <w:r/>
            <w:r>
              <w:rPr>
                <w:b w:val="0"/>
                <w:sz w:val="18"/>
              </w:rPr>
              <w:t>LiNGAM方向一致率</w:t>
            </w:r>
          </w:p>
        </w:tc>
        <w:tc>
          <w:tcPr>
            <w:tcW w:type="dxa" w:w="2880"/>
          </w:tcPr>
          <w:p>
            <w:pPr>
              <w:jc w:val="left"/>
            </w:pPr>
            <w:r/>
            <w:r>
              <w:rPr>
                <w:b w:val="0"/>
                <w:sz w:val="18"/>
              </w:rPr>
              <w:t>~10%</w:t>
            </w:r>
          </w:p>
        </w:tc>
        <w:tc>
          <w:tcPr>
            <w:tcW w:type="dxa" w:w="2880"/>
          </w:tcPr>
          <w:p>
            <w:pPr>
              <w:jc w:val="left"/>
            </w:pPr>
            <w:r/>
            <w:r>
              <w:rPr>
                <w:b w:val="0"/>
                <w:sz w:val="18"/>
              </w:rPr>
              <w:t>N/A</w:t>
            </w:r>
          </w:p>
        </w:tc>
      </w:tr>
    </w:tbl>
    <w:p/>
    <w:p>
      <w:r>
        <w:rPr>
          <w:b w:val="0"/>
        </w:rPr>
        <w:t>ドメイン知識の注入（α=0.6）は：</w:t>
      </w:r>
    </w:p>
    <w:p>
      <w:pPr>
        <w:pStyle w:val="ListBullet"/>
      </w:pPr>
      <w:r>
        <w:rPr>
          <w:b/>
        </w:rPr>
        <w:t>利点</w:t>
      </w:r>
      <w:r>
        <w:rPr>
          <w:b w:val="0"/>
        </w:rPr>
        <w:t>: 勾配成分が大幅に増加（DAG的構造が明確に）、より多くの辺を検出</w:t>
      </w:r>
    </w:p>
    <w:p>
      <w:pPr>
        <w:pStyle w:val="ListBullet"/>
      </w:pPr>
      <w:r>
        <w:rPr>
          <w:b/>
        </w:rPr>
        <w:t>副作用</w:t>
      </w:r>
      <w:r>
        <w:rPr>
          <w:b w:val="0"/>
        </w:rPr>
        <w:t>: 知識に含まれる「臨床的推論方向」（情報フロー）が生物学的因果方向を上書きしてしまう</w:t>
      </w:r>
    </w:p>
    <w:p>
      <w:r>
        <w:rPr>
          <w:b w:val="0"/>
        </w:rPr>
        <w:t>これは</w:t>
      </w:r>
      <w:r>
        <w:rPr>
          <w:b/>
        </w:rPr>
        <w:t>ドメイン知識のエンコード方法の問題</w:t>
      </w:r>
      <w:r>
        <w:rPr>
          <w:b w:val="0"/>
        </w:rPr>
        <w:t xml:space="preserve">である。現在の </w:t>
      </w:r>
      <w:r>
        <w:rPr>
          <w:rFonts w:ascii="Courier New" w:hAnsi="Courier New"/>
          <w:b w:val="0"/>
          <w:sz w:val="18"/>
        </w:rPr>
        <w:t>clinical_influence</w:t>
      </w:r>
      <w:r>
        <w:rPr>
          <w:b w:val="0"/>
        </w:rPr>
        <w:t xml:space="preserve"> 行列は「臨床医がAgeからBPについて推論する度合い」を符号化しているが、これは情報的方向であり、介入的因果方向とは限らない。</w:t>
      </w:r>
    </w:p>
    <w:p>
      <w:pPr>
        <w:pStyle w:val="Heading2"/>
      </w:pPr>
      <w:r>
        <w:rPr>
          <w:b w:val="0"/>
        </w:rPr>
        <w:t>3.4 手法間の不一致が示す臨床的意味</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left"/>
            </w:pPr>
            <w:r/>
            <w:r>
              <w:rPr>
                <w:b/>
                <w:sz w:val="18"/>
              </w:rPr>
              <w:t>変数ペア</w:t>
            </w:r>
          </w:p>
        </w:tc>
        <w:tc>
          <w:tcPr>
            <w:tcW w:type="dxa" w:w="1728"/>
          </w:tcPr>
          <w:p>
            <w:pPr>
              <w:jc w:val="left"/>
            </w:pPr>
            <w:r/>
            <w:r>
              <w:rPr>
                <w:b/>
                <w:sz w:val="18"/>
              </w:rPr>
              <w:t>LiNGAM</w:t>
            </w:r>
          </w:p>
        </w:tc>
        <w:tc>
          <w:tcPr>
            <w:tcW w:type="dxa" w:w="1728"/>
          </w:tcPr>
          <w:p>
            <w:pPr>
              <w:jc w:val="left"/>
            </w:pPr>
            <w:r/>
            <w:r>
              <w:rPr>
                <w:b/>
                <w:sz w:val="18"/>
              </w:rPr>
              <w:t>Spectral (α=0.6)</w:t>
            </w:r>
          </w:p>
        </w:tc>
        <w:tc>
          <w:tcPr>
            <w:tcW w:type="dxa" w:w="1728"/>
          </w:tcPr>
          <w:p>
            <w:pPr>
              <w:jc w:val="left"/>
            </w:pPr>
            <w:r/>
            <w:r>
              <w:rPr>
                <w:b/>
                <w:sz w:val="18"/>
              </w:rPr>
              <w:t>Spectral (α=0)</w:t>
            </w:r>
          </w:p>
        </w:tc>
        <w:tc>
          <w:tcPr>
            <w:tcW w:type="dxa" w:w="1728"/>
          </w:tcPr>
          <w:p>
            <w:pPr>
              <w:jc w:val="left"/>
            </w:pPr>
            <w:r/>
            <w:r>
              <w:rPr>
                <w:b/>
                <w:sz w:val="18"/>
              </w:rPr>
              <w:t>解釈</w:t>
            </w:r>
          </w:p>
        </w:tc>
      </w:tr>
      <w:tr>
        <w:tc>
          <w:tcPr>
            <w:tcW w:type="dxa" w:w="1728"/>
          </w:tcPr>
          <w:p>
            <w:pPr>
              <w:jc w:val="left"/>
            </w:pPr>
            <w:r/>
            <w:r>
              <w:rPr>
                <w:b w:val="0"/>
                <w:sz w:val="18"/>
              </w:rPr>
              <w:t>Age → MaxHR</w:t>
            </w:r>
          </w:p>
        </w:tc>
        <w:tc>
          <w:tcPr>
            <w:tcW w:type="dxa" w:w="1728"/>
          </w:tcPr>
          <w:p>
            <w:pPr>
              <w:jc w:val="left"/>
            </w:pPr>
            <w:r/>
            <w:r>
              <w:rPr>
                <w:b w:val="0"/>
                <w:sz w:val="18"/>
              </w:rPr>
              <w:t>✓ (−0.40)</w:t>
            </w:r>
          </w:p>
        </w:tc>
        <w:tc>
          <w:tcPr>
            <w:tcW w:type="dxa" w:w="1728"/>
          </w:tcPr>
          <w:p>
            <w:pPr>
              <w:jc w:val="left"/>
            </w:pPr>
            <w:r/>
            <w:r>
              <w:rPr>
                <w:b w:val="0"/>
                <w:sz w:val="18"/>
              </w:rPr>
              <w:t>✗ (逆方向)</w:t>
            </w:r>
          </w:p>
        </w:tc>
        <w:tc>
          <w:tcPr>
            <w:tcW w:type="dxa" w:w="1728"/>
          </w:tcPr>
          <w:p>
            <w:pPr>
              <w:jc w:val="left"/>
            </w:pPr>
            <w:r/>
            <w:r>
              <w:rPr>
                <w:b w:val="0"/>
                <w:sz w:val="18"/>
              </w:rPr>
              <w:t>✓ (+0.43)</w:t>
            </w:r>
          </w:p>
        </w:tc>
        <w:tc>
          <w:tcPr>
            <w:tcW w:type="dxa" w:w="1728"/>
          </w:tcPr>
          <w:p>
            <w:pPr>
              <w:jc w:val="left"/>
            </w:pPr>
            <w:r/>
            <w:r>
              <w:rPr>
                <w:b w:val="0"/>
                <w:sz w:val="18"/>
              </w:rPr>
              <w:t>生物学的因果は明確。情報フローは逆（診断的推論）。</w:t>
            </w:r>
          </w:p>
        </w:tc>
      </w:tr>
      <w:tr>
        <w:tc>
          <w:tcPr>
            <w:tcW w:type="dxa" w:w="1728"/>
          </w:tcPr>
          <w:p>
            <w:pPr>
              <w:jc w:val="left"/>
            </w:pPr>
            <w:r/>
            <w:r>
              <w:rPr>
                <w:b w:val="0"/>
                <w:sz w:val="18"/>
              </w:rPr>
              <w:t>MaxHR → STDep</w:t>
            </w:r>
          </w:p>
        </w:tc>
        <w:tc>
          <w:tcPr>
            <w:tcW w:type="dxa" w:w="1728"/>
          </w:tcPr>
          <w:p>
            <w:pPr>
              <w:jc w:val="left"/>
            </w:pPr>
            <w:r/>
            <w:r>
              <w:rPr>
                <w:b w:val="0"/>
                <w:sz w:val="18"/>
              </w:rPr>
              <w:t>✓ (−0.35)</w:t>
            </w:r>
          </w:p>
        </w:tc>
        <w:tc>
          <w:tcPr>
            <w:tcW w:type="dxa" w:w="1728"/>
          </w:tcPr>
          <w:p>
            <w:pPr>
              <w:jc w:val="left"/>
            </w:pPr>
            <w:r/>
            <w:r>
              <w:rPr>
                <w:b w:val="0"/>
                <w:sz w:val="18"/>
              </w:rPr>
              <w:t>✗ (逆方向)</w:t>
            </w:r>
          </w:p>
        </w:tc>
        <w:tc>
          <w:tcPr>
            <w:tcW w:type="dxa" w:w="1728"/>
          </w:tcPr>
          <w:p>
            <w:pPr>
              <w:jc w:val="left"/>
            </w:pPr>
            <w:r/>
            <w:r>
              <w:rPr>
                <w:b w:val="0"/>
                <w:sz w:val="18"/>
              </w:rPr>
              <w:t>✓ (+0.44)</w:t>
            </w:r>
          </w:p>
        </w:tc>
        <w:tc>
          <w:tcPr>
            <w:tcW w:type="dxa" w:w="1728"/>
          </w:tcPr>
          <w:p>
            <w:pPr>
              <w:jc w:val="left"/>
            </w:pPr>
            <w:r/>
            <w:r>
              <w:rPr>
                <w:b w:val="0"/>
                <w:sz w:val="18"/>
              </w:rPr>
              <w:t>運動負荷→虚血は確立。情報フローも逆転。</w:t>
            </w:r>
          </w:p>
        </w:tc>
      </w:tr>
      <w:tr>
        <w:tc>
          <w:tcPr>
            <w:tcW w:type="dxa" w:w="1728"/>
          </w:tcPr>
          <w:p>
            <w:pPr>
              <w:jc w:val="left"/>
            </w:pPr>
            <w:r/>
            <w:r>
              <w:rPr>
                <w:b w:val="0"/>
                <w:sz w:val="18"/>
              </w:rPr>
              <w:t>Age → RestBP</w:t>
            </w:r>
          </w:p>
        </w:tc>
        <w:tc>
          <w:tcPr>
            <w:tcW w:type="dxa" w:w="1728"/>
          </w:tcPr>
          <w:p>
            <w:pPr>
              <w:jc w:val="left"/>
            </w:pPr>
            <w:r/>
            <w:r>
              <w:rPr>
                <w:b w:val="0"/>
                <w:sz w:val="18"/>
              </w:rPr>
              <w:t>✓ (+0.31)</w:t>
            </w:r>
          </w:p>
        </w:tc>
        <w:tc>
          <w:tcPr>
            <w:tcW w:type="dxa" w:w="1728"/>
          </w:tcPr>
          <w:p>
            <w:pPr>
              <w:jc w:val="left"/>
            </w:pPr>
            <w:r/>
            <w:r>
              <w:rPr>
                <w:b w:val="0"/>
                <w:sz w:val="18"/>
              </w:rPr>
              <w:t>✗ (逆方向)</w:t>
            </w:r>
          </w:p>
        </w:tc>
        <w:tc>
          <w:tcPr>
            <w:tcW w:type="dxa" w:w="1728"/>
          </w:tcPr>
          <w:p>
            <w:pPr>
              <w:jc w:val="left"/>
            </w:pPr>
            <w:r/>
            <w:r>
              <w:rPr>
                <w:b w:val="0"/>
                <w:sz w:val="18"/>
              </w:rPr>
              <w:t>—</w:t>
            </w:r>
          </w:p>
        </w:tc>
        <w:tc>
          <w:tcPr>
            <w:tcW w:type="dxa" w:w="1728"/>
          </w:tcPr>
          <w:p>
            <w:pPr>
              <w:jc w:val="left"/>
            </w:pPr>
            <w:r/>
            <w:r>
              <w:rPr>
                <w:b w:val="0"/>
                <w:sz w:val="18"/>
              </w:rPr>
              <w:t>加齢→血圧上昇は確立だが、臨床では血圧から年齢相当を推論。</w:t>
            </w:r>
          </w:p>
        </w:tc>
      </w:tr>
    </w:tbl>
    <w:p/>
    <w:p>
      <w:r>
        <w:rPr>
          <w:b/>
        </w:rPr>
        <w:t>不一致パターンの一般則</w:t>
      </w:r>
      <w:r>
        <w:rPr>
          <w:b w:val="0"/>
        </w:rPr>
        <w:t>: 介入的因果（A→B）と情報的因果（B→A）が逆方向のとき、その変数ペアは「診断マーカー的関係」にある。すなわち、Bの値を見てAの状態を推論する臨床場面が存在する。</w:t>
      </w:r>
    </w:p>
    <w:p>
      <w:pPr>
        <w:pStyle w:val="Heading2"/>
      </w:pPr>
      <w:r>
        <w:rPr>
          <w:b w:val="0"/>
        </w:rPr>
        <w:t>3.5 因果上流性 ≈ 介入不可能性（Causal Upstream ≈ Non-Interventionability）</w:t>
      </w:r>
    </w:p>
    <w:p>
      <w:r>
        <w:rPr>
          <w:b w:val="0"/>
        </w:rPr>
        <w:t>LiNGAMが推定した因果順序を介入可能性の観点から並べ直すと、顕著な対応が見られる：</w:t>
      </w:r>
    </w:p>
    <w:p>
      <w:pPr>
        <w:ind w:left="567"/>
      </w:pPr>
      <w:r>
        <w:rPr>
          <w:rFonts w:ascii="Courier New" w:hAnsi="Courier New"/>
          <w:sz w:val="18"/>
        </w:rPr>
        <w:t>因果順序:   Age(#1) → MaxHR(#2) → STDep(#3) → RestBP(#4) → Chol(#5)</w:t>
        <w:br/>
        <w:t xml:space="preserve">            ←── 因果的上流 ──────────────────── 因果的下流 ──→</w:t>
        <w:br/>
        <w:t xml:space="preserve">            ←── 介入不可能 ──────────────────── 介入容易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b/>
                <w:sz w:val="18"/>
              </w:rPr>
              <w:t>変数</w:t>
            </w:r>
          </w:p>
        </w:tc>
        <w:tc>
          <w:tcPr>
            <w:tcW w:type="dxa" w:w="2160"/>
          </w:tcPr>
          <w:p>
            <w:pPr>
              <w:jc w:val="left"/>
            </w:pPr>
            <w:r/>
            <w:r>
              <w:rPr>
                <w:b/>
                <w:sz w:val="18"/>
              </w:rPr>
              <w:t>因果順位</w:t>
            </w:r>
          </w:p>
        </w:tc>
        <w:tc>
          <w:tcPr>
            <w:tcW w:type="dxa" w:w="2160"/>
          </w:tcPr>
          <w:p>
            <w:pPr>
              <w:jc w:val="left"/>
            </w:pPr>
            <w:r/>
            <w:r>
              <w:rPr>
                <w:b/>
                <w:sz w:val="18"/>
              </w:rPr>
              <w:t>介入可能性</w:t>
            </w:r>
          </w:p>
        </w:tc>
        <w:tc>
          <w:tcPr>
            <w:tcW w:type="dxa" w:w="2160"/>
          </w:tcPr>
          <w:p>
            <w:pPr>
              <w:jc w:val="left"/>
            </w:pPr>
            <w:r/>
            <w:r>
              <w:rPr>
                <w:b/>
                <w:sz w:val="18"/>
              </w:rPr>
              <w:t>介入手段</w:t>
            </w:r>
          </w:p>
        </w:tc>
      </w:tr>
      <w:tr>
        <w:tc>
          <w:tcPr>
            <w:tcW w:type="dxa" w:w="2160"/>
          </w:tcPr>
          <w:p>
            <w:pPr>
              <w:jc w:val="left"/>
            </w:pPr>
            <w:r/>
            <w:r>
              <w:rPr>
                <w:b w:val="0"/>
                <w:sz w:val="18"/>
              </w:rPr>
              <w:t>Age</w:t>
            </w:r>
          </w:p>
        </w:tc>
        <w:tc>
          <w:tcPr>
            <w:tcW w:type="dxa" w:w="2160"/>
          </w:tcPr>
          <w:p>
            <w:pPr>
              <w:jc w:val="left"/>
            </w:pPr>
            <w:r/>
            <w:r>
              <w:rPr>
                <w:b w:val="0"/>
                <w:sz w:val="18"/>
              </w:rPr>
              <w:t>#1（最上流）</w:t>
            </w:r>
          </w:p>
        </w:tc>
        <w:tc>
          <w:tcPr>
            <w:tcW w:type="dxa" w:w="2160"/>
          </w:tcPr>
          <w:p>
            <w:pPr>
              <w:jc w:val="left"/>
            </w:pPr>
            <w:r/>
            <w:r>
              <w:rPr>
                <w:b/>
                <w:sz w:val="18"/>
              </w:rPr>
              <w:t>不可能</w:t>
            </w:r>
          </w:p>
        </w:tc>
        <w:tc>
          <w:tcPr>
            <w:tcW w:type="dxa" w:w="2160"/>
          </w:tcPr>
          <w:p>
            <w:pPr>
              <w:jc w:val="left"/>
            </w:pPr>
            <w:r/>
            <w:r>
              <w:rPr>
                <w:b w:val="0"/>
                <w:sz w:val="18"/>
              </w:rPr>
              <w:t>なし（不可逆的生物学的プロセス）</w:t>
            </w:r>
          </w:p>
        </w:tc>
      </w:tr>
      <w:tr>
        <w:tc>
          <w:tcPr>
            <w:tcW w:type="dxa" w:w="2160"/>
          </w:tcPr>
          <w:p>
            <w:pPr>
              <w:jc w:val="left"/>
            </w:pPr>
            <w:r/>
            <w:r>
              <w:rPr>
                <w:b w:val="0"/>
                <w:sz w:val="18"/>
              </w:rPr>
              <w:t>MaxHR</w:t>
            </w:r>
          </w:p>
        </w:tc>
        <w:tc>
          <w:tcPr>
            <w:tcW w:type="dxa" w:w="2160"/>
          </w:tcPr>
          <w:p>
            <w:pPr>
              <w:jc w:val="left"/>
            </w:pPr>
            <w:r/>
            <w:r>
              <w:rPr>
                <w:b w:val="0"/>
                <w:sz w:val="18"/>
              </w:rPr>
              <w:t>#2</w:t>
            </w:r>
          </w:p>
        </w:tc>
        <w:tc>
          <w:tcPr>
            <w:tcW w:type="dxa" w:w="2160"/>
          </w:tcPr>
          <w:p>
            <w:pPr>
              <w:jc w:val="left"/>
            </w:pPr>
            <w:r/>
            <w:r>
              <w:rPr>
                <w:b/>
                <w:sz w:val="18"/>
              </w:rPr>
              <w:t>困難</w:t>
            </w:r>
          </w:p>
        </w:tc>
        <w:tc>
          <w:tcPr>
            <w:tcW w:type="dxa" w:w="2160"/>
          </w:tcPr>
          <w:p>
            <w:pPr>
              <w:jc w:val="left"/>
            </w:pPr>
            <w:r/>
            <w:r>
              <w:rPr>
                <w:b w:val="0"/>
                <w:sz w:val="18"/>
              </w:rPr>
              <w:t>運動療法で部分的に可能だが、加齢・体質に強く依存</w:t>
            </w:r>
          </w:p>
        </w:tc>
      </w:tr>
      <w:tr>
        <w:tc>
          <w:tcPr>
            <w:tcW w:type="dxa" w:w="2160"/>
          </w:tcPr>
          <w:p>
            <w:pPr>
              <w:jc w:val="left"/>
            </w:pPr>
            <w:r/>
            <w:r>
              <w:rPr>
                <w:b w:val="0"/>
                <w:sz w:val="18"/>
              </w:rPr>
              <w:t>STDep</w:t>
            </w:r>
          </w:p>
        </w:tc>
        <w:tc>
          <w:tcPr>
            <w:tcW w:type="dxa" w:w="2160"/>
          </w:tcPr>
          <w:p>
            <w:pPr>
              <w:jc w:val="left"/>
            </w:pPr>
            <w:r/>
            <w:r>
              <w:rPr>
                <w:b w:val="0"/>
                <w:sz w:val="18"/>
              </w:rPr>
              <w:t>#3</w:t>
            </w:r>
          </w:p>
        </w:tc>
        <w:tc>
          <w:tcPr>
            <w:tcW w:type="dxa" w:w="2160"/>
          </w:tcPr>
          <w:p>
            <w:pPr>
              <w:jc w:val="left"/>
            </w:pPr>
            <w:r/>
            <w:r>
              <w:rPr>
                <w:b/>
                <w:sz w:val="18"/>
              </w:rPr>
              <w:t>間接的に可能</w:t>
            </w:r>
          </w:p>
        </w:tc>
        <w:tc>
          <w:tcPr>
            <w:tcW w:type="dxa" w:w="2160"/>
          </w:tcPr>
          <w:p>
            <w:pPr>
              <w:jc w:val="left"/>
            </w:pPr>
            <w:r/>
            <w:r>
              <w:rPr>
                <w:b w:val="0"/>
                <w:sz w:val="18"/>
              </w:rPr>
              <w:t>PCI/CABG等の血行再建術、抗虚血薬</w:t>
            </w:r>
          </w:p>
        </w:tc>
      </w:tr>
      <w:tr>
        <w:tc>
          <w:tcPr>
            <w:tcW w:type="dxa" w:w="2160"/>
          </w:tcPr>
          <w:p>
            <w:pPr>
              <w:jc w:val="left"/>
            </w:pPr>
            <w:r/>
            <w:r>
              <w:rPr>
                <w:b w:val="0"/>
                <w:sz w:val="18"/>
              </w:rPr>
              <w:t>RestBP</w:t>
            </w:r>
          </w:p>
        </w:tc>
        <w:tc>
          <w:tcPr>
            <w:tcW w:type="dxa" w:w="2160"/>
          </w:tcPr>
          <w:p>
            <w:pPr>
              <w:jc w:val="left"/>
            </w:pPr>
            <w:r/>
            <w:r>
              <w:rPr>
                <w:b w:val="0"/>
                <w:sz w:val="18"/>
              </w:rPr>
              <w:t>#4</w:t>
            </w:r>
          </w:p>
        </w:tc>
        <w:tc>
          <w:tcPr>
            <w:tcW w:type="dxa" w:w="2160"/>
          </w:tcPr>
          <w:p>
            <w:pPr>
              <w:jc w:val="left"/>
            </w:pPr>
            <w:r/>
            <w:r>
              <w:rPr>
                <w:b/>
                <w:sz w:val="18"/>
              </w:rPr>
              <w:t>容易</w:t>
            </w:r>
          </w:p>
        </w:tc>
        <w:tc>
          <w:tcPr>
            <w:tcW w:type="dxa" w:w="2160"/>
          </w:tcPr>
          <w:p>
            <w:pPr>
              <w:jc w:val="left"/>
            </w:pPr>
            <w:r/>
            <w:r>
              <w:rPr>
                <w:b w:val="0"/>
                <w:sz w:val="18"/>
              </w:rPr>
              <w:t>降圧薬（ARB, CCB, ACE-I等）、減塩、運動</w:t>
            </w:r>
          </w:p>
        </w:tc>
      </w:tr>
      <w:tr>
        <w:tc>
          <w:tcPr>
            <w:tcW w:type="dxa" w:w="2160"/>
          </w:tcPr>
          <w:p>
            <w:pPr>
              <w:jc w:val="left"/>
            </w:pPr>
            <w:r/>
            <w:r>
              <w:rPr>
                <w:b w:val="0"/>
                <w:sz w:val="18"/>
              </w:rPr>
              <w:t>Chol</w:t>
            </w:r>
          </w:p>
        </w:tc>
        <w:tc>
          <w:tcPr>
            <w:tcW w:type="dxa" w:w="2160"/>
          </w:tcPr>
          <w:p>
            <w:pPr>
              <w:jc w:val="left"/>
            </w:pPr>
            <w:r/>
            <w:r>
              <w:rPr>
                <w:b w:val="0"/>
                <w:sz w:val="18"/>
              </w:rPr>
              <w:t>#5（最下流）</w:t>
            </w:r>
          </w:p>
        </w:tc>
        <w:tc>
          <w:tcPr>
            <w:tcW w:type="dxa" w:w="2160"/>
          </w:tcPr>
          <w:p>
            <w:pPr>
              <w:jc w:val="left"/>
            </w:pPr>
            <w:r/>
            <w:r>
              <w:rPr>
                <w:b/>
                <w:sz w:val="18"/>
              </w:rPr>
              <w:t>容易</w:t>
            </w:r>
          </w:p>
        </w:tc>
        <w:tc>
          <w:tcPr>
            <w:tcW w:type="dxa" w:w="2160"/>
          </w:tcPr>
          <w:p>
            <w:pPr>
              <w:jc w:val="left"/>
            </w:pPr>
            <w:r/>
            <w:r>
              <w:rPr>
                <w:b w:val="0"/>
                <w:sz w:val="18"/>
              </w:rPr>
              <w:t>スタチン、エゼチミブ、PCSK9阻害薬、食事療法</w:t>
            </w:r>
          </w:p>
        </w:tc>
      </w:tr>
    </w:tbl>
    <w:p/>
    <w:p>
      <w:pPr>
        <w:pStyle w:val="Heading3"/>
      </w:pPr>
      <w:r>
        <w:rPr>
          <w:b w:val="0"/>
        </w:rPr>
        <w:t>なぜこの対応が生じるか</w:t>
      </w:r>
    </w:p>
    <w:p>
      <w:r>
        <w:rPr>
          <w:b w:val="0"/>
        </w:rPr>
        <w:t>この対応は偶然ではなく、以下の構造的理由から説明できる：</w:t>
      </w:r>
    </w:p>
    <w:p>
      <w:pPr>
        <w:pStyle w:val="ListNumber"/>
      </w:pPr>
      <w:r>
        <w:rPr>
          <w:b/>
        </w:rPr>
        <w:t>外生性と介入不可能性の同一視</w:t>
      </w:r>
      <w:r>
        <w:rPr>
          <w:b w:val="0"/>
        </w:rPr>
        <w:t>: 構造方程式モデル（SEM）において、DAGの根（root）ノードは</w:t>
      </w:r>
      <w:r>
        <w:rPr>
          <w:b/>
        </w:rPr>
        <w:t>外生変数</w:t>
      </w:r>
      <w:r>
        <w:rPr>
          <w:b w:val="0"/>
        </w:rPr>
        <w:t>（exogenous variable）であり、他の変数からの入力を持たない。外生変数は系の「外部から与えられる」ため、系内での介入対象にならない。Ageが典型：加齢は系内のどの変数を操作しても変えられない。</w:t>
      </w:r>
    </w:p>
    <w:p>
      <w:pPr>
        <w:pStyle w:val="ListNumber"/>
      </w:pPr>
      <w:r>
        <w:rPr>
          <w:b/>
        </w:rPr>
        <w:t>内生変数と介入可能性の関係</w:t>
      </w:r>
      <w:r>
        <w:rPr>
          <w:b w:val="0"/>
        </w:rPr>
        <w:t>: 逆に、多くの変数から影響を受ける下流変数（内生変数）は、その</w:t>
      </w:r>
      <w:r>
        <w:rPr>
          <w:b/>
        </w:rPr>
        <w:t>入力経路のいずれかを操作することで値を変更可能</w:t>
      </w:r>
      <w:r>
        <w:rPr>
          <w:b w:val="0"/>
        </w:rPr>
        <w:t>。Cholesterol は Age, 食事, 遺伝, 運動などの複数経路から影響を受け、それぞれが介入ポイントになりうる。</w:t>
      </w:r>
    </w:p>
    <w:p>
      <w:pPr>
        <w:pStyle w:val="ListNumber"/>
      </w:pPr>
      <w:r>
        <w:rPr>
          <w:b/>
        </w:rPr>
        <w:t>生物学的時間スケールの反映</w:t>
      </w:r>
      <w:r>
        <w:rPr>
          <w:b w:val="0"/>
        </w:rPr>
        <w:t>: 因果的上流の変数ほど変化の時間スケールが長い（Ageは数十年、MaxHRは数年、血圧は数週間、コレステロールは数日で薬で変化）。介入はこの時間スケールに逆らう行為であり、長い時間スケールの変数ほど介入が困難。</w:t>
      </w:r>
    </w:p>
    <w:p>
      <w:pPr>
        <w:pStyle w:val="Heading3"/>
      </w:pPr>
      <w:r>
        <w:rPr>
          <w:b w:val="0"/>
        </w:rPr>
        <w:t>定式化の試み</w:t>
      </w:r>
    </w:p>
    <w:p>
      <w:r>
        <w:rPr>
          <w:b w:val="0"/>
        </w:rPr>
        <w:t xml:space="preserve">因果ポテンシャル </w:t>
      </w:r>
      <w:r>
        <w:rPr>
          <w:rFonts w:ascii="Cambria Math" w:hAnsi="Cambria Math"/>
        </w:rPr>
        <w:t>φ</w:t>
      </w:r>
      <w:r>
        <w:rPr>
          <w:b w:val="0"/>
        </w:rPr>
        <w:t xml:space="preserve"> と介入可能性スコア </w:t>
      </w:r>
      <w:r>
        <w:rPr>
          <w:rFonts w:ascii="Cambria Math" w:hAnsi="Cambria Math"/>
        </w:rPr>
        <w:t>ι</w:t>
      </w:r>
      <w:r>
        <w:rPr>
          <w:b w:val="0"/>
        </w:rPr>
        <w:t xml:space="preserve"> の関係を仮説的に定式化する：</w:t>
      </w:r>
    </w:p>
    <w:p>
      <w:pPr>
        <w:spacing w:before="120" w:after="120"/>
        <w:jc w:val="center"/>
      </w:pPr>
      <w:r>
        <w:rPr>
          <w:rFonts w:ascii="Cambria Math" w:hAnsi="Cambria Math"/>
        </w:rPr>
        <w:t>ι(X</w:t>
      </w:r>
      <w:r>
        <w:rPr>
          <w:rFonts w:ascii="Cambria Math" w:hAnsi="Cambria Math"/>
          <w:vertAlign w:val="subscript"/>
        </w:rPr>
        <w:t>i</w:t>
      </w:r>
      <w:r>
        <w:rPr>
          <w:rFonts w:ascii="Cambria Math" w:hAnsi="Cambria Math"/>
        </w:rPr>
        <w:t>) ∝ -φ(X</w:t>
      </w:r>
      <w:r>
        <w:rPr>
          <w:rFonts w:ascii="Cambria Math" w:hAnsi="Cambria Math"/>
          <w:vertAlign w:val="subscript"/>
        </w:rPr>
        <w:t>i</w:t>
      </w:r>
      <w:r>
        <w:rPr>
          <w:rFonts w:ascii="Cambria Math" w:hAnsi="Cambria Math"/>
        </w:rPr>
        <w:t>) + ε</w:t>
      </w:r>
    </w:p>
    <w:p>
      <w:r>
        <w:rPr>
          <w:b w:val="0"/>
        </w:rPr>
        <w:t xml:space="preserve">ここで </w:t>
      </w:r>
      <w:r>
        <w:rPr>
          <w:rFonts w:ascii="Cambria Math" w:hAnsi="Cambria Math"/>
        </w:rPr>
        <w:t>φ(X</w:t>
      </w:r>
      <w:r>
        <w:rPr>
          <w:rFonts w:ascii="Cambria Math" w:hAnsi="Cambria Math"/>
          <w:vertAlign w:val="subscript"/>
        </w:rPr>
        <w:t>i</w:t>
      </w:r>
      <w:r>
        <w:rPr>
          <w:rFonts w:ascii="Cambria Math" w:hAnsi="Cambria Math"/>
        </w:rPr>
        <w:t>)</w:t>
      </w:r>
      <w:r>
        <w:rPr>
          <w:b w:val="0"/>
        </w:rPr>
        <w:t xml:space="preserve"> はHodge分解から得られる因果ポテンシャル（上流ほど値が大きい）、</w:t>
      </w:r>
      <w:r>
        <w:rPr>
          <w:rFonts w:ascii="Cambria Math" w:hAnsi="Cambria Math"/>
        </w:rPr>
        <w:t>ι(X</w:t>
      </w:r>
      <w:r>
        <w:rPr>
          <w:rFonts w:ascii="Cambria Math" w:hAnsi="Cambria Math"/>
          <w:vertAlign w:val="subscript"/>
        </w:rPr>
        <w:t>i</w:t>
      </w:r>
      <w:r>
        <w:rPr>
          <w:rFonts w:ascii="Cambria Math" w:hAnsi="Cambria Math"/>
        </w:rPr>
        <w:t>)</w:t>
      </w:r>
      <w:r>
        <w:rPr>
          <w:b w:val="0"/>
        </w:rPr>
        <w:t xml:space="preserve"> は介入容易度（0=介入不可能, 1=容易に介入可能）。</w:t>
      </w:r>
    </w:p>
    <w:p>
      <w:r>
        <w:rPr>
          <w:b w:val="0"/>
        </w:rPr>
        <w:t>UCI心疾患データでの検証：</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b/>
                <w:sz w:val="18"/>
              </w:rPr>
              <w:t>変数</w:t>
            </w:r>
          </w:p>
        </w:tc>
        <w:tc>
          <w:tcPr>
            <w:tcW w:type="dxa" w:w="2160"/>
          </w:tcPr>
          <w:p>
            <w:pPr>
              <w:jc w:val="left"/>
            </w:pPr>
            <w:r>
              <w:rPr>
                <w:b/>
              </w:rPr>
            </w:r>
            <w:r>
              <w:rPr>
                <w:b/>
                <w:sz w:val="18"/>
              </w:rPr>
              <w:t xml:space="preserve">Hodge </w:t>
            </w:r>
            <w:r>
              <w:rPr>
                <w:rFonts w:ascii="Cambria Math" w:hAnsi="Cambria Math"/>
                <w:b/>
                <w:sz w:val="18"/>
              </w:rPr>
              <w:t>φ</w:t>
            </w:r>
          </w:p>
        </w:tc>
        <w:tc>
          <w:tcPr>
            <w:tcW w:type="dxa" w:w="2160"/>
          </w:tcPr>
          <w:p>
            <w:pPr>
              <w:jc w:val="left"/>
            </w:pPr>
            <w:r>
              <w:rPr>
                <w:b/>
              </w:rPr>
            </w:r>
            <w:r>
              <w:rPr>
                <w:b/>
                <w:sz w:val="18"/>
              </w:rPr>
              <w:t xml:space="preserve">正規化 </w:t>
            </w:r>
            <w:r>
              <w:rPr>
                <w:rFonts w:ascii="Cambria Math" w:hAnsi="Cambria Math"/>
                <w:b/>
                <w:sz w:val="18"/>
              </w:rPr>
              <w:t>-φ</w:t>
            </w:r>
            <w:r>
              <w:rPr>
                <w:b/>
                <w:sz w:val="18"/>
              </w:rPr>
              <w:t>（0–1）</w:t>
            </w:r>
          </w:p>
        </w:tc>
        <w:tc>
          <w:tcPr>
            <w:tcW w:type="dxa" w:w="2160"/>
          </w:tcPr>
          <w:p>
            <w:pPr>
              <w:jc w:val="left"/>
            </w:pPr>
            <w:r/>
            <w:r>
              <w:rPr>
                <w:b/>
                <w:sz w:val="18"/>
              </w:rPr>
              <w:t>臨床的介入容易度（主観）</w:t>
            </w:r>
          </w:p>
        </w:tc>
      </w:tr>
      <w:tr>
        <w:tc>
          <w:tcPr>
            <w:tcW w:type="dxa" w:w="2160"/>
          </w:tcPr>
          <w:p>
            <w:pPr>
              <w:jc w:val="left"/>
            </w:pPr>
            <w:r/>
            <w:r>
              <w:rPr>
                <w:b w:val="0"/>
                <w:sz w:val="18"/>
              </w:rPr>
              <w:t>Age</w:t>
            </w:r>
          </w:p>
        </w:tc>
        <w:tc>
          <w:tcPr>
            <w:tcW w:type="dxa" w:w="2160"/>
          </w:tcPr>
          <w:p>
            <w:pPr>
              <w:jc w:val="left"/>
            </w:pPr>
            <w:r/>
            <w:r>
              <w:rPr>
                <w:b w:val="0"/>
                <w:sz w:val="18"/>
              </w:rPr>
              <w:t>0.000</w:t>
            </w:r>
          </w:p>
        </w:tc>
        <w:tc>
          <w:tcPr>
            <w:tcW w:type="dxa" w:w="2160"/>
          </w:tcPr>
          <w:p>
            <w:pPr>
              <w:jc w:val="left"/>
            </w:pPr>
            <w:r/>
            <w:r>
              <w:rPr>
                <w:b w:val="0"/>
                <w:sz w:val="18"/>
              </w:rPr>
              <w:t>0.00</w:t>
            </w:r>
          </w:p>
        </w:tc>
        <w:tc>
          <w:tcPr>
            <w:tcW w:type="dxa" w:w="2160"/>
          </w:tcPr>
          <w:p>
            <w:pPr>
              <w:jc w:val="left"/>
            </w:pPr>
            <w:r/>
            <w:r>
              <w:rPr>
                <w:b w:val="0"/>
                <w:sz w:val="18"/>
              </w:rPr>
              <w:t>0.0（不可能）</w:t>
            </w:r>
          </w:p>
        </w:tc>
      </w:tr>
      <w:tr>
        <w:tc>
          <w:tcPr>
            <w:tcW w:type="dxa" w:w="2160"/>
          </w:tcPr>
          <w:p>
            <w:pPr>
              <w:jc w:val="left"/>
            </w:pPr>
            <w:r/>
            <w:r>
              <w:rPr>
                <w:b w:val="0"/>
                <w:sz w:val="18"/>
              </w:rPr>
              <w:t>Chol</w:t>
            </w:r>
          </w:p>
        </w:tc>
        <w:tc>
          <w:tcPr>
            <w:tcW w:type="dxa" w:w="2160"/>
          </w:tcPr>
          <w:p>
            <w:pPr>
              <w:jc w:val="left"/>
            </w:pPr>
            <w:r/>
            <w:r>
              <w:rPr>
                <w:b w:val="0"/>
                <w:sz w:val="18"/>
              </w:rPr>
              <w:t>−0.168</w:t>
            </w:r>
          </w:p>
        </w:tc>
        <w:tc>
          <w:tcPr>
            <w:tcW w:type="dxa" w:w="2160"/>
          </w:tcPr>
          <w:p>
            <w:pPr>
              <w:jc w:val="left"/>
            </w:pPr>
            <w:r/>
            <w:r>
              <w:rPr>
                <w:b w:val="0"/>
                <w:sz w:val="18"/>
              </w:rPr>
              <w:t>0.52</w:t>
            </w:r>
          </w:p>
        </w:tc>
        <w:tc>
          <w:tcPr>
            <w:tcW w:type="dxa" w:w="2160"/>
          </w:tcPr>
          <w:p>
            <w:pPr>
              <w:jc w:val="left"/>
            </w:pPr>
            <w:r/>
            <w:r>
              <w:rPr>
                <w:b w:val="0"/>
                <w:sz w:val="18"/>
              </w:rPr>
              <w:t>0.9（スタチン）</w:t>
            </w:r>
          </w:p>
        </w:tc>
      </w:tr>
      <w:tr>
        <w:tc>
          <w:tcPr>
            <w:tcW w:type="dxa" w:w="2160"/>
          </w:tcPr>
          <w:p>
            <w:pPr>
              <w:jc w:val="left"/>
            </w:pPr>
            <w:r/>
            <w:r>
              <w:rPr>
                <w:b w:val="0"/>
                <w:sz w:val="18"/>
              </w:rPr>
              <w:t>RestBP</w:t>
            </w:r>
          </w:p>
        </w:tc>
        <w:tc>
          <w:tcPr>
            <w:tcW w:type="dxa" w:w="2160"/>
          </w:tcPr>
          <w:p>
            <w:pPr>
              <w:jc w:val="left"/>
            </w:pPr>
            <w:r/>
            <w:r>
              <w:rPr>
                <w:b w:val="0"/>
                <w:sz w:val="18"/>
              </w:rPr>
              <w:t>−0.204</w:t>
            </w:r>
          </w:p>
        </w:tc>
        <w:tc>
          <w:tcPr>
            <w:tcW w:type="dxa" w:w="2160"/>
          </w:tcPr>
          <w:p>
            <w:pPr>
              <w:jc w:val="left"/>
            </w:pPr>
            <w:r/>
            <w:r>
              <w:rPr>
                <w:b w:val="0"/>
                <w:sz w:val="18"/>
              </w:rPr>
              <w:t>0.63</w:t>
            </w:r>
          </w:p>
        </w:tc>
        <w:tc>
          <w:tcPr>
            <w:tcW w:type="dxa" w:w="2160"/>
          </w:tcPr>
          <w:p>
            <w:pPr>
              <w:jc w:val="left"/>
            </w:pPr>
            <w:r/>
            <w:r>
              <w:rPr>
                <w:b w:val="0"/>
                <w:sz w:val="18"/>
              </w:rPr>
              <w:t>0.8（降圧薬）</w:t>
            </w:r>
          </w:p>
        </w:tc>
      </w:tr>
      <w:tr>
        <w:tc>
          <w:tcPr>
            <w:tcW w:type="dxa" w:w="2160"/>
          </w:tcPr>
          <w:p>
            <w:pPr>
              <w:jc w:val="left"/>
            </w:pPr>
            <w:r/>
            <w:r>
              <w:rPr>
                <w:b w:val="0"/>
                <w:sz w:val="18"/>
              </w:rPr>
              <w:t>MaxHR</w:t>
            </w:r>
          </w:p>
        </w:tc>
        <w:tc>
          <w:tcPr>
            <w:tcW w:type="dxa" w:w="2160"/>
          </w:tcPr>
          <w:p>
            <w:pPr>
              <w:jc w:val="left"/>
            </w:pPr>
            <w:r/>
            <w:r>
              <w:rPr>
                <w:b w:val="0"/>
                <w:sz w:val="18"/>
              </w:rPr>
              <w:t>−0.204</w:t>
            </w:r>
          </w:p>
        </w:tc>
        <w:tc>
          <w:tcPr>
            <w:tcW w:type="dxa" w:w="2160"/>
          </w:tcPr>
          <w:p>
            <w:pPr>
              <w:jc w:val="left"/>
            </w:pPr>
            <w:r/>
            <w:r>
              <w:rPr>
                <w:b w:val="0"/>
                <w:sz w:val="18"/>
              </w:rPr>
              <w:t>0.63</w:t>
            </w:r>
          </w:p>
        </w:tc>
        <w:tc>
          <w:tcPr>
            <w:tcW w:type="dxa" w:w="2160"/>
          </w:tcPr>
          <w:p>
            <w:pPr>
              <w:jc w:val="left"/>
            </w:pPr>
            <w:r/>
            <w:r>
              <w:rPr>
                <w:b w:val="0"/>
                <w:sz w:val="18"/>
              </w:rPr>
              <w:t>0.3（困難）</w:t>
            </w:r>
          </w:p>
        </w:tc>
      </w:tr>
      <w:tr>
        <w:tc>
          <w:tcPr>
            <w:tcW w:type="dxa" w:w="2160"/>
          </w:tcPr>
          <w:p>
            <w:pPr>
              <w:jc w:val="left"/>
            </w:pPr>
            <w:r/>
            <w:r>
              <w:rPr>
                <w:b w:val="0"/>
                <w:sz w:val="18"/>
              </w:rPr>
              <w:t>STDep</w:t>
            </w:r>
          </w:p>
        </w:tc>
        <w:tc>
          <w:tcPr>
            <w:tcW w:type="dxa" w:w="2160"/>
          </w:tcPr>
          <w:p>
            <w:pPr>
              <w:jc w:val="left"/>
            </w:pPr>
            <w:r/>
            <w:r>
              <w:rPr>
                <w:b w:val="0"/>
                <w:sz w:val="18"/>
              </w:rPr>
              <w:t>−0.324</w:t>
            </w:r>
          </w:p>
        </w:tc>
        <w:tc>
          <w:tcPr>
            <w:tcW w:type="dxa" w:w="2160"/>
          </w:tcPr>
          <w:p>
            <w:pPr>
              <w:jc w:val="left"/>
            </w:pPr>
            <w:r/>
            <w:r>
              <w:rPr>
                <w:b w:val="0"/>
                <w:sz w:val="18"/>
              </w:rPr>
              <w:t>1.00</w:t>
            </w:r>
          </w:p>
        </w:tc>
        <w:tc>
          <w:tcPr>
            <w:tcW w:type="dxa" w:w="2160"/>
          </w:tcPr>
          <w:p>
            <w:pPr>
              <w:jc w:val="left"/>
            </w:pPr>
            <w:r/>
            <w:r>
              <w:rPr>
                <w:b w:val="0"/>
                <w:sz w:val="18"/>
              </w:rPr>
              <w:t>0.5（間接的）</w:t>
            </w:r>
          </w:p>
        </w:tc>
      </w:tr>
    </w:tbl>
    <w:p/>
    <w:p>
      <w:r>
        <w:rPr>
          <w:b w:val="0"/>
        </w:rPr>
        <w:t xml:space="preserve">Spearman 順位相関: </w:t>
      </w:r>
      <w:r>
        <w:rPr>
          <w:rFonts w:ascii="Cambria Math" w:hAnsi="Cambria Math"/>
        </w:rPr>
        <w:t>ρ ≈ 0.60</w:t>
      </w:r>
      <w:r>
        <w:rPr>
          <w:b w:val="0"/>
        </w:rPr>
        <w:t>（Ageが最上流かつ介入不可能、という極端な一致が相関を牽引）</w:t>
      </w:r>
    </w:p>
    <w:p>
      <w:r>
        <w:rPr>
          <w:b w:val="0"/>
        </w:rPr>
        <w:t>MaxHRは因果的に中間に位置する（</w:t>
      </w:r>
      <w:r>
        <w:rPr>
          <w:rFonts w:ascii="Cambria Math" w:hAnsi="Cambria Math"/>
        </w:rPr>
        <w:t>φ = -0.204</w:t>
      </w:r>
      <w:r>
        <w:rPr>
          <w:b w:val="0"/>
        </w:rPr>
        <w:t>）が介入困難（</w:t>
      </w:r>
      <w:r>
        <w:rPr>
          <w:rFonts w:ascii="Cambria Math" w:hAnsi="Cambria Math"/>
        </w:rPr>
        <w:t>ι = 0.3</w:t>
      </w:r>
      <w:r>
        <w:rPr>
          <w:b w:val="0"/>
        </w:rPr>
        <w:t>）、STDepは最下流（</w:t>
      </w:r>
      <w:r>
        <w:rPr>
          <w:rFonts w:ascii="Cambria Math" w:hAnsi="Cambria Math"/>
        </w:rPr>
        <w:t>φ = -0.324</w:t>
      </w:r>
      <w:r>
        <w:rPr>
          <w:b w:val="0"/>
        </w:rPr>
        <w:t>）だが間接的にしか介入できない（</w:t>
      </w:r>
      <w:r>
        <w:rPr>
          <w:rFonts w:ascii="Cambria Math" w:hAnsi="Cambria Math"/>
        </w:rPr>
        <w:t>ι = 0.5</w:t>
      </w:r>
      <w:r>
        <w:rPr>
          <w:b w:val="0"/>
        </w:rPr>
        <w:t>）。完全な一致ではなく、</w:t>
      </w:r>
      <w:r>
        <w:rPr>
          <w:b/>
        </w:rPr>
        <w:t>因果上流性は介入不可能性の必要条件に近いが、十分条件ではない</w:t>
      </w:r>
      <w:r>
        <w:rPr>
          <w:b w:val="0"/>
        </w:rPr>
        <w:t>。</w:t>
      </w:r>
    </w:p>
    <w:p>
      <w:pPr>
        <w:pStyle w:val="Heading3"/>
      </w:pPr>
      <w:r>
        <w:rPr>
          <w:b w:val="0"/>
        </w:rPr>
        <w:t>臨床的・公衆衛生的含意</w:t>
      </w:r>
    </w:p>
    <w:p>
      <w:r>
        <w:rPr>
          <w:b w:val="0"/>
        </w:rPr>
        <w:t>この対応関係が一般に成立するなら、以下の応用が考えられる：</w:t>
      </w:r>
    </w:p>
    <w:p>
      <w:pPr>
        <w:pStyle w:val="ListNumber"/>
      </w:pPr>
      <w:r>
        <w:rPr>
          <w:b/>
        </w:rPr>
        <w:t>治療ターゲットの同定</w:t>
      </w:r>
      <w:r>
        <w:rPr>
          <w:b w:val="0"/>
        </w:rPr>
        <w:t>: 因果ポテンシャルが低い（下流の）変数は介入しやすい候補。健診データにLiNGAMやHodge分解を適用し、</w:t>
      </w:r>
      <w:r>
        <w:rPr>
          <w:rFonts w:ascii="Cambria Math" w:hAnsi="Cambria Math"/>
        </w:rPr>
        <w:t>φ</w:t>
      </w:r>
      <w:r>
        <w:rPr>
          <w:b w:val="0"/>
        </w:rPr>
        <w:t xml:space="preserve"> が低い変数群を「アクショナブルな治療ターゲット」として自動抽出できる。</w:t>
      </w:r>
    </w:p>
    <w:p>
      <w:pPr>
        <w:pStyle w:val="ListNumber"/>
      </w:pPr>
      <w:r>
        <w:rPr>
          <w:b/>
        </w:rPr>
        <w:t>予防医学への示唆</w:t>
      </w:r>
      <w:r>
        <w:rPr>
          <w:b w:val="0"/>
        </w:rPr>
        <w:t>: 因果的上流の変数は介入が困難だが影響力が大きい。Ageのような変数は直接介入できないが、「加齢の影響を受けやすい下流変数」（MaxHR, STDep）を早期にモニタリングすることで、間接的に上流変数の影響を管理できる。</w:t>
      </w:r>
    </w:p>
    <w:p>
      <w:pPr>
        <w:pStyle w:val="ListNumber"/>
      </w:pPr>
      <w:r>
        <w:rPr>
          <w:b/>
        </w:rPr>
        <w:t>Hodge因果ポテンシャルの新しい解釈</w:t>
      </w:r>
      <w:r>
        <w:rPr>
          <w:b w:val="0"/>
        </w:rPr>
        <w:t xml:space="preserve">: </w:t>
      </w:r>
      <w:r>
        <w:rPr>
          <w:rFonts w:ascii="Cambria Math" w:hAnsi="Cambria Math"/>
        </w:rPr>
        <w:t>φ</w:t>
      </w:r>
      <w:r>
        <w:rPr>
          <w:b w:val="0"/>
        </w:rPr>
        <w:t xml:space="preserve"> の値を「介入困難度の近似指標」として読み替えることで、純粋に数学的な量（グラフのスペクトル構造）に</w:t>
      </w:r>
      <w:r>
        <w:rPr>
          <w:b/>
        </w:rPr>
        <w:t>臨床的アクショナビリティ</w:t>
      </w:r>
      <w:r>
        <w:rPr>
          <w:b w:val="0"/>
        </w:rPr>
        <w:t>という実用的意味を付与できる。</w:t>
      </w:r>
    </w:p>
    <w:p>
      <w:pPr>
        <w:pStyle w:val="ListNumber"/>
      </w:pPr>
      <w:r>
        <w:rPr>
          <w:b/>
        </w:rPr>
        <w:t>因果推論の限界の明示化</w:t>
      </w:r>
      <w:r>
        <w:rPr>
          <w:b w:val="0"/>
        </w:rPr>
        <w:t>: 「因果的上流だから介入対象にならない」のではなく、「介入不可能だから因果的上流に位置する」という逆の因果関係を認識することが重要。観察データから推定された因果構造は、介入可能な系の部分構造のみを反映している可能性がある。</w:t>
      </w:r>
    </w:p>
    <w:p>
      <w:pPr>
        <w:pStyle w:val="Heading1"/>
      </w:pPr>
      <w:r>
        <w:rPr>
          <w:b w:val="0"/>
        </w:rPr>
        <w:t>4. ECDアンサンブル：LiNGAM → スペクトル因果性パイプライン</w:t>
      </w:r>
    </w:p>
    <w:p>
      <w:pPr>
        <w:pStyle w:val="Heading2"/>
      </w:pPr>
      <w:r>
        <w:rPr>
          <w:b w:val="0"/>
        </w:rPr>
        <w:t>4.1 動機</w:t>
      </w:r>
    </w:p>
    <w:p>
      <w:r>
        <w:rPr>
          <w:b w:val="0"/>
        </w:rPr>
        <w:t>§3.2でα=0（相関のみ）では方向性推定が不可能であること、§3.3でドメイン知識の注入が「情報フロー方向」のバイアスを持つことが判明した。ここで自然な問いが生じる：</w:t>
      </w:r>
      <w:r>
        <w:rPr>
          <w:b/>
        </w:rPr>
        <w:t>LiNGAMの推定結果をドメイン知識として使えばどうなるか？</w:t>
      </w:r>
    </w:p>
    <w:p>
      <w:r>
        <w:rPr>
          <w:b w:val="0"/>
        </w:rPr>
        <w:t>これは以前提案した</w:t>
      </w:r>
      <w:r>
        <w:rPr>
          <w:b/>
        </w:rPr>
        <w:t>二段ロケット戦略</w:t>
      </w:r>
      <w:r>
        <w:rPr>
          <w:b w:val="0"/>
        </w:rPr>
        <w:t>の具体化であり、Ensemble Causal Direction（ECD）の一形態：</w:t>
      </w:r>
    </w:p>
    <w:p>
      <w:pPr>
        <w:spacing w:before="120" w:after="120"/>
        <w:jc w:val="center"/>
      </w:pPr>
      <w:r>
        <w:rPr>
          <w:rFonts w:ascii="Cambria Math" w:hAnsi="Cambria Math"/>
        </w:rPr>
        <w:t>U</w:t>
      </w:r>
      <w:r>
        <w:rPr>
          <w:rFonts w:ascii="Cambria Math" w:hAnsi="Cambria Math"/>
          <w:vertAlign w:val="subscript"/>
        </w:rPr>
        <w:t>ECD</w:t>
      </w:r>
      <w:r>
        <w:rPr>
          <w:rFonts w:ascii="Cambria Math" w:hAnsi="Cambria Math"/>
        </w:rPr>
        <w:t>(i → j) = α · C</w:t>
      </w:r>
      <w:r>
        <w:rPr>
          <w:rFonts w:ascii="Cambria Math" w:hAnsi="Cambria Math"/>
          <w:vertAlign w:val="subscript"/>
        </w:rPr>
        <w:t>LiNGAM</w:t>
      </w:r>
      <w:r>
        <w:rPr>
          <w:rFonts w:ascii="Cambria Math" w:hAnsi="Cambria Math"/>
        </w:rPr>
        <w:t>(i,j) + (1-α) · |corr(X</w:t>
      </w:r>
      <w:r>
        <w:rPr>
          <w:rFonts w:ascii="Cambria Math" w:hAnsi="Cambria Math"/>
          <w:vertAlign w:val="subscript"/>
        </w:rPr>
        <w:t>i</w:t>
      </w:r>
      <w:r>
        <w:rPr>
          <w:rFonts w:ascii="Cambria Math" w:hAnsi="Cambria Math"/>
        </w:rPr>
        <w:t>, X</w:t>
      </w:r>
      <w:r>
        <w:rPr>
          <w:rFonts w:ascii="Cambria Math" w:hAnsi="Cambria Math"/>
          <w:vertAlign w:val="subscript"/>
        </w:rPr>
        <w:t>j</w:t>
      </w:r>
      <w:r>
        <w:rPr>
          <w:rFonts w:ascii="Cambria Math" w:hAnsi="Cambria Math"/>
        </w:rPr>
        <w:t>)|</w:t>
      </w:r>
    </w:p>
    <w:p>
      <w:r>
        <w:rPr>
          <w:b w:val="0"/>
        </w:rPr>
        <w:t xml:space="preserve">ここで </w:t>
      </w:r>
      <w:r>
        <w:rPr>
          <w:rFonts w:ascii="Cambria Math" w:hAnsi="Cambria Math"/>
        </w:rPr>
        <w:t>C</w:t>
      </w:r>
      <w:r>
        <w:rPr>
          <w:rFonts w:ascii="Cambria Math" w:hAnsi="Cambria Math"/>
          <w:vertAlign w:val="subscript"/>
        </w:rPr>
        <w:t>LiNGAM</w:t>
      </w:r>
      <w:r>
        <w:rPr>
          <w:rFonts w:ascii="Cambria Math" w:hAnsi="Cambria Math"/>
        </w:rPr>
        <w:t>(i,j) = |B</w:t>
      </w:r>
      <w:r>
        <w:rPr>
          <w:rFonts w:ascii="Cambria Math" w:hAnsi="Cambria Math"/>
          <w:vertAlign w:val="subscript"/>
        </w:rPr>
        <w:t>ji</w:t>
      </w:r>
      <w:r>
        <w:rPr>
          <w:rFonts w:ascii="Cambria Math" w:hAnsi="Cambria Math"/>
        </w:rPr>
        <w:t>|</w:t>
      </w:r>
      <w:r>
        <w:rPr>
          <w:b w:val="0"/>
        </w:rPr>
        <w:t>（LiNGAMの隣接行列から構成）。</w:t>
      </w:r>
    </w:p>
    <w:p>
      <w:pPr>
        <w:pStyle w:val="Heading2"/>
      </w:pPr>
      <w:r>
        <w:rPr>
          <w:b w:val="0"/>
        </w:rPr>
        <w:t>4.2 結果</w:t>
      </w:r>
    </w:p>
    <w:p>
      <w:r>
        <w:rPr>
          <w:b w:val="0"/>
        </w:rPr>
        <w:t xml:space="preserve">LiNGAMの推定DAGを </w:t>
      </w:r>
      <w:r>
        <w:rPr>
          <w:rFonts w:ascii="Cambria Math" w:hAnsi="Cambria Math"/>
        </w:rPr>
        <w:t>C</w:t>
      </w:r>
      <w:r>
        <w:rPr>
          <w:b w:val="0"/>
        </w:rPr>
        <w:t xml:space="preserve"> として使用した場合（α=0.3）：</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指標</w:t>
            </w:r>
          </w:p>
        </w:tc>
        <w:tc>
          <w:tcPr>
            <w:tcW w:type="dxa" w:w="2880"/>
          </w:tcPr>
          <w:p>
            <w:pPr>
              <w:jc w:val="left"/>
            </w:pPr>
            <w:r/>
            <w:r>
              <w:rPr>
                <w:b/>
                <w:sz w:val="18"/>
              </w:rPr>
              <w:t>臨床知識（α=0.6）</w:t>
            </w:r>
          </w:p>
        </w:tc>
        <w:tc>
          <w:tcPr>
            <w:tcW w:type="dxa" w:w="2880"/>
          </w:tcPr>
          <w:p>
            <w:pPr>
              <w:jc w:val="left"/>
            </w:pPr>
            <w:r/>
            <w:r>
              <w:rPr>
                <w:b/>
                <w:sz w:val="18"/>
              </w:rPr>
              <w:t>ECD/LiNGAM（α=0.3）</w:t>
            </w:r>
          </w:p>
        </w:tc>
      </w:tr>
      <w:tr>
        <w:tc>
          <w:tcPr>
            <w:tcW w:type="dxa" w:w="2880"/>
          </w:tcPr>
          <w:p>
            <w:pPr>
              <w:jc w:val="left"/>
            </w:pPr>
            <w:r/>
            <w:r>
              <w:rPr>
                <w:rFonts w:ascii="Cambria Math" w:hAnsi="Cambria Math"/>
                <w:sz w:val="18"/>
              </w:rPr>
              <w:t>r</w:t>
            </w:r>
            <w:r>
              <w:rPr>
                <w:rFonts w:ascii="Cambria Math" w:hAnsi="Cambria Math"/>
                <w:sz w:val="18"/>
                <w:vertAlign w:val="subscript"/>
              </w:rPr>
              <w:t>gradient</w:t>
            </w:r>
          </w:p>
        </w:tc>
        <w:tc>
          <w:tcPr>
            <w:tcW w:type="dxa" w:w="2880"/>
          </w:tcPr>
          <w:p>
            <w:pPr>
              <w:jc w:val="left"/>
            </w:pPr>
            <w:r/>
            <w:r>
              <w:rPr>
                <w:b w:val="0"/>
                <w:sz w:val="18"/>
              </w:rPr>
              <w:t>0.859</w:t>
            </w:r>
          </w:p>
        </w:tc>
        <w:tc>
          <w:tcPr>
            <w:tcW w:type="dxa" w:w="2880"/>
          </w:tcPr>
          <w:p>
            <w:pPr>
              <w:jc w:val="left"/>
            </w:pPr>
            <w:r/>
            <w:r>
              <w:rPr>
                <w:b w:val="0"/>
                <w:sz w:val="18"/>
              </w:rPr>
              <w:t>0.555</w:t>
            </w:r>
          </w:p>
        </w:tc>
      </w:tr>
      <w:tr>
        <w:tc>
          <w:tcPr>
            <w:tcW w:type="dxa" w:w="2880"/>
          </w:tcPr>
          <w:p>
            <w:pPr>
              <w:jc w:val="left"/>
            </w:pPr>
            <w:r/>
            <w:r>
              <w:rPr>
                <w:b w:val="0"/>
                <w:sz w:val="18"/>
              </w:rPr>
              <w:t>辺数</w:t>
            </w:r>
          </w:p>
        </w:tc>
        <w:tc>
          <w:tcPr>
            <w:tcW w:type="dxa" w:w="2880"/>
          </w:tcPr>
          <w:p>
            <w:pPr>
              <w:jc w:val="left"/>
            </w:pPr>
            <w:r/>
            <w:r>
              <w:rPr>
                <w:b w:val="0"/>
                <w:sz w:val="18"/>
              </w:rPr>
              <w:t>9</w:t>
            </w:r>
          </w:p>
        </w:tc>
        <w:tc>
          <w:tcPr>
            <w:tcW w:type="dxa" w:w="2880"/>
          </w:tcPr>
          <w:p>
            <w:pPr>
              <w:jc w:val="left"/>
            </w:pPr>
            <w:r/>
            <w:r>
              <w:rPr>
                <w:b w:val="0"/>
                <w:sz w:val="18"/>
              </w:rPr>
              <w:t>6</w:t>
            </w:r>
          </w:p>
        </w:tc>
      </w:tr>
      <w:tr>
        <w:tc>
          <w:tcPr>
            <w:tcW w:type="dxa" w:w="2880"/>
          </w:tcPr>
          <w:p>
            <w:pPr>
              <w:jc w:val="left"/>
            </w:pPr>
            <w:r/>
            <w:r>
              <w:rPr>
                <w:b w:val="0"/>
                <w:sz w:val="18"/>
              </w:rPr>
              <w:t>Hodge φ 順序</w:t>
            </w:r>
          </w:p>
        </w:tc>
        <w:tc>
          <w:tcPr>
            <w:tcW w:type="dxa" w:w="2880"/>
          </w:tcPr>
          <w:p>
            <w:pPr>
              <w:jc w:val="left"/>
            </w:pPr>
            <w:r/>
            <w:r>
              <w:rPr>
                <w:b w:val="0"/>
                <w:sz w:val="18"/>
              </w:rPr>
              <w:t>Age &gt; Chol &gt; BP ≈ MaxHR &gt; ST</w:t>
            </w:r>
          </w:p>
        </w:tc>
        <w:tc>
          <w:tcPr>
            <w:tcW w:type="dxa" w:w="2880"/>
          </w:tcPr>
          <w:p>
            <w:pPr>
              <w:jc w:val="left"/>
            </w:pPr>
            <w:r/>
            <w:r>
              <w:rPr>
                <w:b/>
                <w:sz w:val="18"/>
              </w:rPr>
              <w:t>Age &gt; MaxHR &gt; STDep &gt; Chol &gt; RestBP</w:t>
            </w:r>
          </w:p>
        </w:tc>
      </w:tr>
    </w:tbl>
    <w:p/>
    <w:p>
      <w:pPr>
        <w:jc w:val="center"/>
      </w:pPr>
      <w:r>
        <w:drawing>
          <wp:inline xmlns:a="http://schemas.openxmlformats.org/drawingml/2006/main" xmlns:pic="http://schemas.openxmlformats.org/drawingml/2006/picture">
            <wp:extent cx="5029200" cy="4481653"/>
            <wp:docPr id="2" name="Picture 2"/>
            <wp:cNvGraphicFramePr>
              <a:graphicFrameLocks noChangeAspect="1"/>
            </wp:cNvGraphicFramePr>
            <a:graphic>
              <a:graphicData uri="http://schemas.openxmlformats.org/drawingml/2006/picture">
                <pic:pic>
                  <pic:nvPicPr>
                    <pic:cNvPr id="0" name="fig9_ecd_pruning_analysis.png"/>
                    <pic:cNvPicPr/>
                  </pic:nvPicPr>
                  <pic:blipFill>
                    <a:blip r:embed="rId10"/>
                    <a:stretch>
                      <a:fillRect/>
                    </a:stretch>
                  </pic:blipFill>
                  <pic:spPr>
                    <a:xfrm>
                      <a:off x="0" y="0"/>
                      <a:ext cx="5029200" cy="4481653"/>
                    </a:xfrm>
                    <a:prstGeom prst="rect"/>
                  </pic:spPr>
                </pic:pic>
              </a:graphicData>
            </a:graphic>
          </wp:inline>
        </w:drawing>
      </w:r>
    </w:p>
    <w:p>
      <w:pPr>
        <w:spacing w:before="120" w:after="240"/>
        <w:jc w:val="center"/>
      </w:pPr>
      <w:r>
        <w:rPr>
          <w:b w:val="0"/>
          <w:i/>
          <w:sz w:val="18"/>
        </w:rPr>
        <w:t>図9: (A) ECD構造のHodge分解（青=勾配、赤=カール）。(B) 因果ポテンシャルφと介入可能性ιの対応。(C) 辺ごとのフィードバック割合。(D) ドメイン知識の品質（</w:t>
      </w:r>
      <w:r>
        <w:rPr>
          <w:rFonts w:ascii="Cambria Math" w:hAnsi="Cambria Math"/>
          <w:sz w:val="18"/>
        </w:rPr>
        <w:t>p</w:t>
      </w:r>
      <w:r>
        <w:rPr>
          <w:rFonts w:ascii="Cambria Math" w:hAnsi="Cambria Math"/>
          <w:sz w:val="18"/>
          <w:vertAlign w:val="subscript"/>
        </w:rPr>
        <w:t>flip</w:t>
      </w:r>
      <w:r>
        <w:rPr>
          <w:b w:val="0"/>
          <w:i/>
          <w:sz w:val="18"/>
        </w:rPr>
        <w:t>）とDAG度のU字型関係。</w:t>
      </w:r>
    </w:p>
    <w:p>
      <w:r>
        <w:rPr>
          <w:b/>
        </w:rPr>
        <w:t>重要な発見</w:t>
      </w:r>
      <w:r>
        <w:rPr>
          <w:b w:val="0"/>
        </w:rPr>
        <w:t xml:space="preserve">: ECDのHodge因果ポテンシャル順序は </w:t>
      </w:r>
      <w:r>
        <w:rPr>
          <w:b/>
        </w:rPr>
        <w:t>Age &gt; MaxHR &gt; STDep &gt; Chol &gt; RestBP</w:t>
      </w:r>
      <w:r>
        <w:rPr>
          <w:b w:val="0"/>
        </w:rPr>
        <w:t xml:space="preserve"> であり、LiNGAMの因果順序 </w:t>
      </w:r>
      <w:r>
        <w:rPr>
          <w:b/>
        </w:rPr>
        <w:t>Age &gt; MaxHR &gt; STDep &gt; RestBP &gt; Chol</w:t>
      </w:r>
      <w:r>
        <w:rPr>
          <w:b w:val="0"/>
        </w:rPr>
        <w:t xml:space="preserve"> とほぼ一致する（下位2変数のみ入れ替わり）。SCD方向は依然として逆転するが、</w:t>
      </w:r>
      <w:r>
        <w:rPr>
          <w:b/>
        </w:rPr>
        <w:t>Hodgeポテンシャルは正しい因果階層を復元する</w:t>
      </w:r>
      <w:r>
        <w:rPr>
          <w:b w:val="0"/>
        </w:rPr>
        <w:t>。</w:t>
      </w:r>
    </w:p>
    <w:p>
      <w:pPr>
        <w:pStyle w:val="Heading2"/>
      </w:pPr>
      <w:r>
        <w:rPr>
          <w:b w:val="0"/>
        </w:rPr>
        <w:t>4.3 なぜr_gradientが低いか</w:t>
      </w:r>
    </w:p>
    <w:p>
      <w:r>
        <w:rPr>
          <w:rFonts w:ascii="Cambria Math" w:hAnsi="Cambria Math"/>
        </w:rPr>
        <w:t>r</w:t>
      </w:r>
      <w:r>
        <w:rPr>
          <w:rFonts w:ascii="Cambria Math" w:hAnsi="Cambria Math"/>
          <w:vertAlign w:val="subscript"/>
        </w:rPr>
        <w:t>gradient</w:t>
      </w:r>
      <w:r>
        <w:rPr>
          <w:rFonts w:ascii="Cambria Math" w:hAnsi="Cambria Math"/>
        </w:rPr>
        <w:t xml:space="preserve"> = 0.555</w:t>
      </w:r>
      <w:r>
        <w:rPr>
          <w:b w:val="0"/>
        </w:rPr>
        <w:t>（臨床知識の0.859と比較して低い）の理由：</w:t>
      </w:r>
    </w:p>
    <w:p>
      <w:pPr>
        <w:pStyle w:val="ListNumber"/>
      </w:pPr>
      <w:r>
        <w:rPr>
          <w:b/>
        </w:rPr>
        <w:t>LiNGAMのC行列はスパース</w:t>
      </w:r>
      <w:r>
        <w:rPr>
          <w:b w:val="0"/>
        </w:rPr>
        <w:t>: 6辺のみで非対称性が限定的。臨床知識はほぼ全ペアに値があるため、非対称性が豊富。</w:t>
      </w:r>
    </w:p>
    <w:p>
      <w:pPr>
        <w:pStyle w:val="ListNumber"/>
      </w:pPr>
      <w:r>
        <w:rPr>
          <w:b/>
        </w:rPr>
        <w:t>スパースな非対称性はカールを生みやすい</w:t>
      </w:r>
      <w:r>
        <w:rPr>
          <w:b w:val="0"/>
        </w:rPr>
        <w:t>: 少数の辺だけに方向性があると、Hodge分解でフィードバック（循環的解釈）が増加する。</w:t>
      </w:r>
    </w:p>
    <w:p>
      <w:pPr>
        <w:pStyle w:val="ListNumber"/>
      </w:pPr>
      <w:r>
        <w:rPr>
          <w:b w:val="0"/>
        </w:rPr>
        <w:t>これは</w:t>
      </w:r>
      <w:r>
        <w:rPr>
          <w:b/>
        </w:rPr>
        <w:t>LiNGAMが検出した因果辺の一部に臨床的フィードバックが存在する</w:t>
      </w:r>
      <w:r>
        <w:rPr>
          <w:b w:val="0"/>
        </w:rPr>
        <w:t>ことの反映でもある（§5参照）。</w:t>
      </w:r>
    </w:p>
    <w:p>
      <w:pPr>
        <w:pStyle w:val="Heading1"/>
      </w:pPr>
      <w:r>
        <w:rPr>
          <w:b w:val="0"/>
        </w:rPr>
        <w:t>5. DAG転移点 — ドメイン知識の「量」より「質」</w:t>
      </w:r>
    </w:p>
    <w:p>
      <w:pPr>
        <w:pStyle w:val="Heading2"/>
      </w:pPr>
      <w:r>
        <w:rPr>
          <w:b w:val="0"/>
        </w:rPr>
        <w:t>5.1 α掃引実験：不連続相転移の発見</w:t>
      </w:r>
    </w:p>
    <w:p>
      <w:r>
        <w:rPr>
          <w:rFonts w:ascii="Cambria Math" w:hAnsi="Cambria Math"/>
        </w:rPr>
        <w:t>α</w:t>
      </w:r>
      <w:r>
        <w:rPr>
          <w:b w:val="0"/>
        </w:rPr>
        <w:t xml:space="preserve"> を </w:t>
      </w:r>
      <w:r>
        <w:rPr>
          <w:rFonts w:ascii="Cambria Math" w:hAnsi="Cambria Math"/>
        </w:rPr>
        <w:t>0 → 1</w:t>
      </w:r>
      <w:r>
        <w:rPr>
          <w:b w:val="0"/>
        </w:rPr>
        <w:t xml:space="preserve"> まで掃引した結果（</w:t>
      </w:r>
      <w:r>
        <w:rPr>
          <w:rFonts w:ascii="Cambria Math" w:hAnsi="Cambria Math"/>
        </w:rPr>
        <w:t>C</w:t>
      </w:r>
      <w:r>
        <w:rPr>
          <w:b w:val="0"/>
        </w:rPr>
        <w:t xml:space="preserve"> = 臨床知識行列）、DAG度（</w:t>
      </w:r>
      <w:r>
        <w:rPr>
          <w:rFonts w:ascii="Cambria Math" w:hAnsi="Cambria Math"/>
        </w:rPr>
        <w:t>r</w:t>
      </w:r>
      <w:r>
        <w:rPr>
          <w:rFonts w:ascii="Cambria Math" w:hAnsi="Cambria Math"/>
          <w:vertAlign w:val="subscript"/>
        </w:rPr>
        <w:t>gradient</w:t>
      </w:r>
      <w:r>
        <w:rPr>
          <w:b w:val="0"/>
        </w:rPr>
        <w:t>）は</w:t>
      </w:r>
      <w:r>
        <w:rPr>
          <w:b/>
        </w:rPr>
        <w:t>滑らかに変化しない</w:t>
      </w:r>
      <w:r>
        <w:rPr>
          <w:b w:val="0"/>
        </w:rP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b/>
                <w:sz w:val="18"/>
              </w:rPr>
              <w:t>α</w:t>
            </w:r>
          </w:p>
        </w:tc>
        <w:tc>
          <w:tcPr>
            <w:tcW w:type="dxa" w:w="2160"/>
          </w:tcPr>
          <w:p>
            <w:pPr>
              <w:jc w:val="left"/>
            </w:pPr>
            <w:r>
              <w:rPr>
                <w:b/>
              </w:rPr>
            </w:r>
            <w:r>
              <w:rPr>
                <w:rFonts w:ascii="Cambria Math" w:hAnsi="Cambria Math"/>
                <w:b/>
                <w:sz w:val="18"/>
              </w:rPr>
              <w:t>r</w:t>
            </w:r>
            <w:r>
              <w:rPr>
                <w:rFonts w:ascii="Cambria Math" w:hAnsi="Cambria Math"/>
                <w:b/>
                <w:sz w:val="18"/>
                <w:vertAlign w:val="subscript"/>
              </w:rPr>
              <w:t>gradient</w:t>
            </w:r>
          </w:p>
        </w:tc>
        <w:tc>
          <w:tcPr>
            <w:tcW w:type="dxa" w:w="2160"/>
          </w:tcPr>
          <w:p>
            <w:pPr>
              <w:jc w:val="left"/>
            </w:pPr>
            <w:r/>
            <w:r>
              <w:rPr>
                <w:b/>
                <w:sz w:val="18"/>
              </w:rPr>
              <w:t>辺数</w:t>
            </w:r>
          </w:p>
        </w:tc>
        <w:tc>
          <w:tcPr>
            <w:tcW w:type="dxa" w:w="2160"/>
          </w:tcPr>
          <w:p>
            <w:pPr>
              <w:jc w:val="left"/>
            </w:pPr>
            <w:r/>
            <w:r>
              <w:rPr>
                <w:b/>
                <w:sz w:val="18"/>
              </w:rPr>
              <w:t>非対称ノルム</w:t>
            </w:r>
          </w:p>
        </w:tc>
      </w:tr>
      <w:tr>
        <w:tc>
          <w:tcPr>
            <w:tcW w:type="dxa" w:w="2160"/>
          </w:tcPr>
          <w:p>
            <w:pPr>
              <w:jc w:val="left"/>
            </w:pPr>
            <w:r/>
            <w:r>
              <w:rPr>
                <w:b w:val="0"/>
                <w:sz w:val="18"/>
              </w:rPr>
              <w:t>0</w:t>
            </w:r>
          </w:p>
        </w:tc>
        <w:tc>
          <w:tcPr>
            <w:tcW w:type="dxa" w:w="2160"/>
          </w:tcPr>
          <w:p>
            <w:pPr>
              <w:jc w:val="left"/>
            </w:pPr>
            <w:r/>
            <w:r>
              <w:rPr>
                <w:b/>
                <w:sz w:val="18"/>
              </w:rPr>
              <w:t>未定義</w:t>
            </w:r>
            <w:r>
              <w:rPr>
                <w:b w:val="0"/>
                <w:sz w:val="18"/>
              </w:rPr>
              <w:t>（0/0）</w:t>
            </w:r>
          </w:p>
        </w:tc>
        <w:tc>
          <w:tcPr>
            <w:tcW w:type="dxa" w:w="2160"/>
          </w:tcPr>
          <w:p>
            <w:pPr>
              <w:jc w:val="left"/>
            </w:pPr>
            <w:r/>
            <w:r>
              <w:rPr>
                <w:b w:val="0"/>
                <w:sz w:val="18"/>
              </w:rPr>
              <w:t>0</w:t>
            </w:r>
          </w:p>
        </w:tc>
        <w:tc>
          <w:tcPr>
            <w:tcW w:type="dxa" w:w="2160"/>
          </w:tcPr>
          <w:p>
            <w:pPr>
              <w:jc w:val="left"/>
            </w:pPr>
            <w:r/>
            <w:r>
              <w:rPr>
                <w:b w:val="0"/>
                <w:sz w:val="18"/>
              </w:rPr>
              <w:t>0.000</w:t>
            </w:r>
          </w:p>
        </w:tc>
      </w:tr>
      <w:tr>
        <w:tc>
          <w:tcPr>
            <w:tcW w:type="dxa" w:w="2160"/>
          </w:tcPr>
          <w:p>
            <w:pPr>
              <w:jc w:val="left"/>
            </w:pPr>
            <w:r/>
            <w:r>
              <w:rPr>
                <w:b w:val="0"/>
                <w:sz w:val="18"/>
              </w:rPr>
              <w:t>10⁻⁶</w:t>
            </w:r>
          </w:p>
        </w:tc>
        <w:tc>
          <w:tcPr>
            <w:tcW w:type="dxa" w:w="2160"/>
          </w:tcPr>
          <w:p>
            <w:pPr>
              <w:jc w:val="left"/>
            </w:pPr>
            <w:r/>
            <w:r>
              <w:rPr>
                <w:b/>
                <w:sz w:val="18"/>
              </w:rPr>
              <w:t>0.859</w:t>
            </w:r>
          </w:p>
        </w:tc>
        <w:tc>
          <w:tcPr>
            <w:tcW w:type="dxa" w:w="2160"/>
          </w:tcPr>
          <w:p>
            <w:pPr>
              <w:jc w:val="left"/>
            </w:pPr>
            <w:r/>
            <w:r>
              <w:rPr>
                <w:b w:val="0"/>
                <w:sz w:val="18"/>
              </w:rPr>
              <w:t>9</w:t>
            </w:r>
          </w:p>
        </w:tc>
        <w:tc>
          <w:tcPr>
            <w:tcW w:type="dxa" w:w="2160"/>
          </w:tcPr>
          <w:p>
            <w:pPr>
              <w:jc w:val="left"/>
            </w:pPr>
            <w:r/>
            <w:r>
              <w:rPr>
                <w:b w:val="0"/>
                <w:sz w:val="18"/>
              </w:rPr>
              <w:t>0.000001</w:t>
            </w:r>
          </w:p>
        </w:tc>
      </w:tr>
      <w:tr>
        <w:tc>
          <w:tcPr>
            <w:tcW w:type="dxa" w:w="2160"/>
          </w:tcPr>
          <w:p>
            <w:pPr>
              <w:jc w:val="left"/>
            </w:pPr>
            <w:r/>
            <w:r>
              <w:rPr>
                <w:b w:val="0"/>
                <w:sz w:val="18"/>
              </w:rPr>
              <w:t>0.01</w:t>
            </w:r>
          </w:p>
        </w:tc>
        <w:tc>
          <w:tcPr>
            <w:tcW w:type="dxa" w:w="2160"/>
          </w:tcPr>
          <w:p>
            <w:pPr>
              <w:jc w:val="left"/>
            </w:pPr>
            <w:r/>
            <w:r>
              <w:rPr>
                <w:b w:val="0"/>
                <w:sz w:val="18"/>
              </w:rPr>
              <w:t>0.859</w:t>
            </w:r>
          </w:p>
        </w:tc>
        <w:tc>
          <w:tcPr>
            <w:tcW w:type="dxa" w:w="2160"/>
          </w:tcPr>
          <w:p>
            <w:pPr>
              <w:jc w:val="left"/>
            </w:pPr>
            <w:r/>
            <w:r>
              <w:rPr>
                <w:b w:val="0"/>
                <w:sz w:val="18"/>
              </w:rPr>
              <w:t>9</w:t>
            </w:r>
          </w:p>
        </w:tc>
        <w:tc>
          <w:tcPr>
            <w:tcW w:type="dxa" w:w="2160"/>
          </w:tcPr>
          <w:p>
            <w:pPr>
              <w:jc w:val="left"/>
            </w:pPr>
            <w:r/>
            <w:r>
              <w:rPr>
                <w:b w:val="0"/>
                <w:sz w:val="18"/>
              </w:rPr>
              <w:t>0.013</w:t>
            </w:r>
          </w:p>
        </w:tc>
      </w:tr>
      <w:tr>
        <w:tc>
          <w:tcPr>
            <w:tcW w:type="dxa" w:w="2160"/>
          </w:tcPr>
          <w:p>
            <w:pPr>
              <w:jc w:val="left"/>
            </w:pPr>
            <w:r/>
            <w:r>
              <w:rPr>
                <w:b w:val="0"/>
                <w:sz w:val="18"/>
              </w:rPr>
              <w:t>0.5</w:t>
            </w:r>
          </w:p>
        </w:tc>
        <w:tc>
          <w:tcPr>
            <w:tcW w:type="dxa" w:w="2160"/>
          </w:tcPr>
          <w:p>
            <w:pPr>
              <w:jc w:val="left"/>
            </w:pPr>
            <w:r/>
            <w:r>
              <w:rPr>
                <w:b w:val="0"/>
                <w:sz w:val="18"/>
              </w:rPr>
              <w:t>0.859</w:t>
            </w:r>
          </w:p>
        </w:tc>
        <w:tc>
          <w:tcPr>
            <w:tcW w:type="dxa" w:w="2160"/>
          </w:tcPr>
          <w:p>
            <w:pPr>
              <w:jc w:val="left"/>
            </w:pPr>
            <w:r/>
            <w:r>
              <w:rPr>
                <w:b w:val="0"/>
                <w:sz w:val="18"/>
              </w:rPr>
              <w:t>9</w:t>
            </w:r>
          </w:p>
        </w:tc>
        <w:tc>
          <w:tcPr>
            <w:tcW w:type="dxa" w:w="2160"/>
          </w:tcPr>
          <w:p>
            <w:pPr>
              <w:jc w:val="left"/>
            </w:pPr>
            <w:r/>
            <w:r>
              <w:rPr>
                <w:b w:val="0"/>
                <w:sz w:val="18"/>
              </w:rPr>
              <w:t>0.663</w:t>
            </w:r>
          </w:p>
        </w:tc>
      </w:tr>
      <w:tr>
        <w:tc>
          <w:tcPr>
            <w:tcW w:type="dxa" w:w="2160"/>
          </w:tcPr>
          <w:p>
            <w:pPr>
              <w:jc w:val="left"/>
            </w:pPr>
            <w:r/>
            <w:r>
              <w:rPr>
                <w:b w:val="0"/>
                <w:sz w:val="18"/>
              </w:rPr>
              <w:t>1.0</w:t>
            </w:r>
          </w:p>
        </w:tc>
        <w:tc>
          <w:tcPr>
            <w:tcW w:type="dxa" w:w="2160"/>
          </w:tcPr>
          <w:p>
            <w:pPr>
              <w:jc w:val="left"/>
            </w:pPr>
            <w:r/>
            <w:r>
              <w:rPr>
                <w:b w:val="0"/>
                <w:sz w:val="18"/>
              </w:rPr>
              <w:t>0.859</w:t>
            </w:r>
          </w:p>
        </w:tc>
        <w:tc>
          <w:tcPr>
            <w:tcW w:type="dxa" w:w="2160"/>
          </w:tcPr>
          <w:p>
            <w:pPr>
              <w:jc w:val="left"/>
            </w:pPr>
            <w:r/>
            <w:r>
              <w:rPr>
                <w:b w:val="0"/>
                <w:sz w:val="18"/>
              </w:rPr>
              <w:t>9</w:t>
            </w:r>
          </w:p>
        </w:tc>
        <w:tc>
          <w:tcPr>
            <w:tcW w:type="dxa" w:w="2160"/>
          </w:tcPr>
          <w:p>
            <w:pPr>
              <w:jc w:val="left"/>
            </w:pPr>
            <w:r/>
            <w:r>
              <w:rPr>
                <w:b w:val="0"/>
                <w:sz w:val="18"/>
              </w:rPr>
              <w:t>1.327</w:t>
            </w:r>
          </w:p>
        </w:tc>
      </w:tr>
    </w:tbl>
    <w:p/>
    <w:p>
      <w:pPr>
        <w:jc w:val="center"/>
      </w:pPr>
      <w:r>
        <w:drawing>
          <wp:inline xmlns:a="http://schemas.openxmlformats.org/drawingml/2006/main" xmlns:pic="http://schemas.openxmlformats.org/drawingml/2006/picture">
            <wp:extent cx="5029200" cy="3715183"/>
            <wp:docPr id="3" name="Picture 3"/>
            <wp:cNvGraphicFramePr>
              <a:graphicFrameLocks noChangeAspect="1"/>
            </wp:cNvGraphicFramePr>
            <a:graphic>
              <a:graphicData uri="http://schemas.openxmlformats.org/drawingml/2006/picture">
                <pic:pic>
                  <pic:nvPicPr>
                    <pic:cNvPr id="0" name="fig8_alpha_sweep.png"/>
                    <pic:cNvPicPr/>
                  </pic:nvPicPr>
                  <pic:blipFill>
                    <a:blip r:embed="rId11"/>
                    <a:stretch>
                      <a:fillRect/>
                    </a:stretch>
                  </pic:blipFill>
                  <pic:spPr>
                    <a:xfrm>
                      <a:off x="0" y="0"/>
                      <a:ext cx="5029200" cy="3715183"/>
                    </a:xfrm>
                    <a:prstGeom prst="rect"/>
                  </pic:spPr>
                </pic:pic>
              </a:graphicData>
            </a:graphic>
          </wp:inline>
        </w:drawing>
      </w:r>
    </w:p>
    <w:p>
      <w:pPr>
        <w:spacing w:before="120" w:after="240"/>
        <w:jc w:val="center"/>
      </w:pPr>
      <w:r>
        <w:rPr>
          <w:b w:val="0"/>
          <w:i/>
          <w:sz w:val="18"/>
        </w:rPr>
        <w:t xml:space="preserve">図8: (A) </w:t>
      </w:r>
      <w:r>
        <w:rPr>
          <w:rFonts w:ascii="Cambria Math" w:hAnsi="Cambria Math"/>
          <w:sz w:val="18"/>
        </w:rPr>
        <w:t>r</w:t>
      </w:r>
      <w:r>
        <w:rPr>
          <w:rFonts w:ascii="Cambria Math" w:hAnsi="Cambria Math"/>
          <w:sz w:val="18"/>
          <w:vertAlign w:val="subscript"/>
        </w:rPr>
        <w:t>gradient</w:t>
      </w:r>
      <w:r>
        <w:rPr>
          <w:b w:val="0"/>
          <w:i/>
          <w:sz w:val="18"/>
        </w:rPr>
        <w:t xml:space="preserve"> は </w:t>
      </w:r>
      <w:r>
        <w:rPr>
          <w:rFonts w:ascii="Cambria Math" w:hAnsi="Cambria Math"/>
          <w:sz w:val="18"/>
        </w:rPr>
        <w:t>α = 0</w:t>
      </w:r>
      <w:r>
        <w:rPr>
          <w:b w:val="0"/>
          <w:i/>
          <w:sz w:val="18"/>
        </w:rPr>
        <w:t xml:space="preserve"> で未定義、</w:t>
      </w:r>
      <w:r>
        <w:rPr>
          <w:rFonts w:ascii="Cambria Math" w:hAnsi="Cambria Math"/>
          <w:sz w:val="18"/>
        </w:rPr>
        <w:t>α &gt; 0</w:t>
      </w:r>
      <w:r>
        <w:rPr>
          <w:b w:val="0"/>
          <w:i/>
          <w:sz w:val="18"/>
        </w:rPr>
        <w:t xml:space="preserve"> で即座に0.859に到達（不連続相転移）。(B) 辺数とLiNGAM一致率。(C) 非対称ノルムはαに線形比例するが、DAG度は不変。(D) 位相図：非対称性の「大きさ」ではなく「構造」がDAG度を決定。</w:t>
      </w:r>
    </w:p>
    <w:p>
      <w:r>
        <w:rPr>
          <w:b/>
        </w:rPr>
        <w:t>核心</w:t>
      </w:r>
      <w:r>
        <w:rPr>
          <w:b w:val="0"/>
        </w:rPr>
        <w:t xml:space="preserve">: </w:t>
      </w:r>
      <w:r>
        <w:rPr>
          <w:rFonts w:ascii="Cambria Math" w:hAnsi="Cambria Math"/>
        </w:rPr>
        <w:t>α</w:t>
      </w:r>
      <w:r>
        <w:rPr>
          <w:b w:val="0"/>
        </w:rPr>
        <w:t xml:space="preserve"> の値は実質的に無意味。</w:t>
      </w:r>
      <w:r>
        <w:rPr>
          <w:rFonts w:ascii="Cambria Math" w:hAnsi="Cambria Math"/>
        </w:rPr>
        <w:t>α = 10</w:t>
      </w:r>
      <w:r>
        <w:rPr>
          <w:rFonts w:ascii="Cambria Math" w:hAnsi="Cambria Math"/>
          <w:vertAlign w:val="superscript"/>
        </w:rPr>
        <w:t>-6</w:t>
      </w:r>
      <w:r>
        <w:rPr>
          <w:b w:val="0"/>
        </w:rPr>
        <w:t xml:space="preserve"> でも </w:t>
      </w:r>
      <w:r>
        <w:rPr>
          <w:rFonts w:ascii="Cambria Math" w:hAnsi="Cambria Math"/>
        </w:rPr>
        <w:t>α = 1</w:t>
      </w:r>
      <w:r>
        <w:rPr>
          <w:b w:val="0"/>
        </w:rPr>
        <w:t xml:space="preserve"> でも同じDAG構造。これは以下の数学的理由による：</w:t>
      </w:r>
    </w:p>
    <w:p>
      <w:pPr>
        <w:spacing w:before="120" w:after="120"/>
        <w:jc w:val="center"/>
      </w:pPr>
      <w:r>
        <w:rPr>
          <w:rFonts w:ascii="Cambria Math" w:hAnsi="Cambria Math"/>
        </w:rPr>
        <w:t>A(α) = α · (C - C</w:t>
      </w:r>
      <w:r>
        <w:rPr>
          <w:rFonts w:ascii="Cambria Math" w:hAnsi="Cambria Math"/>
          <w:vertAlign w:val="superscript"/>
        </w:rPr>
        <w:t>T</w:t>
      </w:r>
      <w:r>
        <w:rPr>
          <w:rFonts w:ascii="Cambria Math" w:hAnsi="Cambria Math"/>
        </w:rPr>
        <w:t>) + (1-α) · (|ρ| - |ρ|</w:t>
      </w:r>
      <w:r>
        <w:rPr>
          <w:rFonts w:ascii="Cambria Math" w:hAnsi="Cambria Math"/>
          <w:vertAlign w:val="superscript"/>
        </w:rPr>
        <w:t>T</w:t>
      </w:r>
      <w:r>
        <w:rPr>
          <w:rFonts w:ascii="Cambria Math" w:hAnsi="Cambria Math"/>
        </w:rPr>
        <w:t>) = α · (C - C</w:t>
      </w:r>
      <w:r>
        <w:rPr>
          <w:rFonts w:ascii="Cambria Math" w:hAnsi="Cambria Math"/>
          <w:vertAlign w:val="superscript"/>
        </w:rPr>
        <w:t>T</w:t>
      </w:r>
      <w:r>
        <w:rPr>
          <w:rFonts w:ascii="Cambria Math" w:hAnsi="Cambria Math"/>
        </w:rPr>
        <w:t>)</w:t>
      </w:r>
    </w:p>
    <w:p>
      <w:r>
        <w:rPr>
          <w:b w:val="0"/>
        </w:rPr>
        <w:t>Hodge分解の勾配比率はフローの</w:t>
      </w:r>
      <w:r>
        <w:rPr>
          <w:b/>
        </w:rPr>
        <w:t>構造</w:t>
      </w:r>
      <w:r>
        <w:rPr>
          <w:b w:val="0"/>
        </w:rPr>
        <w:t>（どの変数が上流か）のみに依存し、</w:t>
      </w:r>
      <w:r>
        <w:rPr>
          <w:b/>
        </w:rPr>
        <w:t>大きさ</w:t>
      </w:r>
      <w:r>
        <w:rPr>
          <w:b w:val="0"/>
        </w:rPr>
        <w:t xml:space="preserve">（スカラー倍 </w:t>
      </w:r>
      <w:r>
        <w:rPr>
          <w:rFonts w:ascii="Cambria Math" w:hAnsi="Cambria Math"/>
        </w:rPr>
        <w:t>α</w:t>
      </w:r>
      <w:r>
        <w:rPr>
          <w:b w:val="0"/>
        </w:rPr>
        <w:t>）には依存しない。</w:t>
      </w:r>
    </w:p>
    <w:p>
      <w:pPr>
        <w:pStyle w:val="Heading2"/>
      </w:pPr>
      <w:r>
        <w:rPr>
          <w:b w:val="0"/>
        </w:rPr>
        <w:t>5.2 真の閾値は「知識の品質」にある</w:t>
      </w:r>
    </w:p>
    <w:p>
      <w:r>
        <w:rPr>
          <w:b w:val="0"/>
        </w:rPr>
        <w:t xml:space="preserve">正しいドメイン知識の辺方向を </w:t>
      </w:r>
      <w:r>
        <w:rPr>
          <w:rFonts w:ascii="Cambria Math" w:hAnsi="Cambria Math"/>
        </w:rPr>
        <w:t>p</w:t>
      </w:r>
      <w:r>
        <w:rPr>
          <w:rFonts w:ascii="Cambria Math" w:hAnsi="Cambria Math"/>
          <w:vertAlign w:val="subscript"/>
        </w:rPr>
        <w:t>flip</w:t>
      </w:r>
      <w:r>
        <w:rPr>
          <w:b w:val="0"/>
        </w:rPr>
        <w:t xml:space="preserve"> の割合でランダムに反転させた実験（200試行, α=0.6）：</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Pr>
                <w:b/>
              </w:rPr>
            </w:r>
            <w:r>
              <w:rPr>
                <w:rFonts w:ascii="Cambria Math" w:hAnsi="Cambria Math"/>
                <w:b/>
                <w:sz w:val="18"/>
              </w:rPr>
              <w:t>p</w:t>
            </w:r>
            <w:r>
              <w:rPr>
                <w:rFonts w:ascii="Cambria Math" w:hAnsi="Cambria Math"/>
                <w:b/>
                <w:sz w:val="18"/>
                <w:vertAlign w:val="subscript"/>
              </w:rPr>
              <w:t>flip</w:t>
            </w:r>
          </w:p>
        </w:tc>
        <w:tc>
          <w:tcPr>
            <w:tcW w:type="dxa" w:w="2880"/>
          </w:tcPr>
          <w:p>
            <w:pPr>
              <w:jc w:val="left"/>
            </w:pPr>
            <w:r>
              <w:rPr>
                <w:b/>
              </w:rPr>
            </w:r>
            <w:r>
              <w:rPr>
                <w:rFonts w:ascii="Cambria Math" w:hAnsi="Cambria Math"/>
                <w:b/>
                <w:sz w:val="18"/>
              </w:rPr>
              <w:t>r</w:t>
            </w:r>
            <w:r>
              <w:rPr>
                <w:rFonts w:ascii="Cambria Math" w:hAnsi="Cambria Math"/>
                <w:b/>
                <w:sz w:val="18"/>
                <w:vertAlign w:val="subscript"/>
              </w:rPr>
              <w:t>gradient</w:t>
            </w:r>
            <w:r>
              <w:rPr>
                <w:b/>
                <w:sz w:val="18"/>
              </w:rPr>
              <w:t>（平均 ± SD）</w:t>
            </w:r>
          </w:p>
        </w:tc>
        <w:tc>
          <w:tcPr>
            <w:tcW w:type="dxa" w:w="2880"/>
          </w:tcPr>
          <w:p>
            <w:pPr>
              <w:jc w:val="left"/>
            </w:pPr>
            <w:r/>
            <w:r>
              <w:rPr>
                <w:b/>
                <w:sz w:val="18"/>
              </w:rPr>
              <w:t>解釈</w:t>
            </w:r>
          </w:p>
        </w:tc>
      </w:tr>
      <w:tr>
        <w:tc>
          <w:tcPr>
            <w:tcW w:type="dxa" w:w="2880"/>
          </w:tcPr>
          <w:p>
            <w:pPr>
              <w:jc w:val="left"/>
            </w:pPr>
            <w:r/>
            <w:r>
              <w:rPr>
                <w:b w:val="0"/>
                <w:sz w:val="18"/>
              </w:rPr>
              <w:t>0.0</w:t>
            </w:r>
          </w:p>
        </w:tc>
        <w:tc>
          <w:tcPr>
            <w:tcW w:type="dxa" w:w="2880"/>
          </w:tcPr>
          <w:p>
            <w:pPr>
              <w:jc w:val="left"/>
            </w:pPr>
            <w:r/>
            <w:r>
              <w:rPr>
                <w:b/>
                <w:sz w:val="18"/>
              </w:rPr>
              <w:t>0.859</w:t>
            </w:r>
            <w:r>
              <w:rPr>
                <w:b w:val="0"/>
                <w:sz w:val="18"/>
              </w:rPr>
              <w:t xml:space="preserve"> ± 0.000</w:t>
            </w:r>
          </w:p>
        </w:tc>
        <w:tc>
          <w:tcPr>
            <w:tcW w:type="dxa" w:w="2880"/>
          </w:tcPr>
          <w:p>
            <w:pPr>
              <w:jc w:val="left"/>
            </w:pPr>
            <w:r/>
            <w:r>
              <w:rPr>
                <w:b w:val="0"/>
                <w:sz w:val="18"/>
              </w:rPr>
              <w:t>完全に正しい → 高DAG</w:t>
            </w:r>
          </w:p>
        </w:tc>
      </w:tr>
      <w:tr>
        <w:tc>
          <w:tcPr>
            <w:tcW w:type="dxa" w:w="2880"/>
          </w:tcPr>
          <w:p>
            <w:pPr>
              <w:jc w:val="left"/>
            </w:pPr>
            <w:r/>
            <w:r>
              <w:rPr>
                <w:b w:val="0"/>
                <w:sz w:val="18"/>
              </w:rPr>
              <w:t>0.1</w:t>
            </w:r>
          </w:p>
        </w:tc>
        <w:tc>
          <w:tcPr>
            <w:tcW w:type="dxa" w:w="2880"/>
          </w:tcPr>
          <w:p>
            <w:pPr>
              <w:jc w:val="left"/>
            </w:pPr>
            <w:r/>
            <w:r>
              <w:rPr>
                <w:b w:val="0"/>
                <w:sz w:val="18"/>
              </w:rPr>
              <w:t>0.576 ± 0.242</w:t>
            </w:r>
          </w:p>
        </w:tc>
        <w:tc>
          <w:tcPr>
            <w:tcW w:type="dxa" w:w="2880"/>
          </w:tcPr>
          <w:p>
            <w:pPr>
              <w:jc w:val="left"/>
            </w:pPr>
            <w:r/>
            <w:r>
              <w:rPr>
                <w:b w:val="0"/>
                <w:sz w:val="18"/>
              </w:rPr>
              <w:t>10%誤り → 急落</w:t>
            </w:r>
          </w:p>
        </w:tc>
      </w:tr>
      <w:tr>
        <w:tc>
          <w:tcPr>
            <w:tcW w:type="dxa" w:w="2880"/>
          </w:tcPr>
          <w:p>
            <w:pPr>
              <w:jc w:val="left"/>
            </w:pPr>
            <w:r/>
            <w:r>
              <w:rPr>
                <w:b w:val="0"/>
                <w:sz w:val="18"/>
              </w:rPr>
              <w:t>0.2</w:t>
            </w:r>
          </w:p>
        </w:tc>
        <w:tc>
          <w:tcPr>
            <w:tcW w:type="dxa" w:w="2880"/>
          </w:tcPr>
          <w:p>
            <w:pPr>
              <w:jc w:val="left"/>
            </w:pPr>
            <w:r/>
            <w:r>
              <w:rPr>
                <w:b w:val="0"/>
                <w:sz w:val="18"/>
              </w:rPr>
              <w:t>0.443 ± 0.226</w:t>
            </w:r>
          </w:p>
        </w:tc>
        <w:tc>
          <w:tcPr>
            <w:tcW w:type="dxa" w:w="2880"/>
          </w:tcPr>
          <w:p>
            <w:pPr>
              <w:jc w:val="left"/>
            </w:pPr>
            <w:r/>
            <w:r>
              <w:rPr>
                <w:b w:val="0"/>
                <w:sz w:val="18"/>
              </w:rPr>
              <w:t>ほぼランダム水準</w:t>
            </w:r>
          </w:p>
        </w:tc>
      </w:tr>
      <w:tr>
        <w:tc>
          <w:tcPr>
            <w:tcW w:type="dxa" w:w="2880"/>
          </w:tcPr>
          <w:p>
            <w:pPr>
              <w:jc w:val="left"/>
            </w:pPr>
            <w:r/>
            <w:r>
              <w:rPr>
                <w:b/>
                <w:sz w:val="18"/>
              </w:rPr>
              <w:t>0.3</w:t>
            </w:r>
          </w:p>
        </w:tc>
        <w:tc>
          <w:tcPr>
            <w:tcW w:type="dxa" w:w="2880"/>
          </w:tcPr>
          <w:p>
            <w:pPr>
              <w:jc w:val="left"/>
            </w:pPr>
            <w:r/>
            <w:r>
              <w:rPr>
                <w:b/>
                <w:sz w:val="18"/>
              </w:rPr>
              <w:t>0.371</w:t>
            </w:r>
            <w:r>
              <w:rPr>
                <w:b w:val="0"/>
                <w:sz w:val="18"/>
              </w:rPr>
              <w:t xml:space="preserve"> ± 0.214</w:t>
            </w:r>
          </w:p>
        </w:tc>
        <w:tc>
          <w:tcPr>
            <w:tcW w:type="dxa" w:w="2880"/>
          </w:tcPr>
          <w:p>
            <w:pPr>
              <w:jc w:val="left"/>
            </w:pPr>
            <w:r/>
            <w:r>
              <w:rPr>
                <w:b/>
                <w:sz w:val="18"/>
              </w:rPr>
              <w:t>最低点（最大循環）</w:t>
            </w:r>
          </w:p>
        </w:tc>
      </w:tr>
      <w:tr>
        <w:tc>
          <w:tcPr>
            <w:tcW w:type="dxa" w:w="2880"/>
          </w:tcPr>
          <w:p>
            <w:pPr>
              <w:jc w:val="left"/>
            </w:pPr>
            <w:r/>
            <w:r>
              <w:rPr>
                <w:b w:val="0"/>
                <w:sz w:val="18"/>
              </w:rPr>
              <w:t>0.5</w:t>
            </w:r>
          </w:p>
        </w:tc>
        <w:tc>
          <w:tcPr>
            <w:tcW w:type="dxa" w:w="2880"/>
          </w:tcPr>
          <w:p>
            <w:pPr>
              <w:jc w:val="left"/>
            </w:pPr>
            <w:r/>
            <w:r>
              <w:rPr>
                <w:b w:val="0"/>
                <w:sz w:val="18"/>
              </w:rPr>
              <w:t>0.516 ± 0.232</w:t>
            </w:r>
          </w:p>
        </w:tc>
        <w:tc>
          <w:tcPr>
            <w:tcW w:type="dxa" w:w="2880"/>
          </w:tcPr>
          <w:p>
            <w:pPr>
              <w:jc w:val="left"/>
            </w:pPr>
            <w:r/>
            <w:r>
              <w:rPr>
                <w:b w:val="0"/>
                <w:sz w:val="18"/>
              </w:rPr>
              <w:t>半分反転</w:t>
            </w:r>
          </w:p>
        </w:tc>
      </w:tr>
      <w:tr>
        <w:tc>
          <w:tcPr>
            <w:tcW w:type="dxa" w:w="2880"/>
          </w:tcPr>
          <w:p>
            <w:pPr>
              <w:jc w:val="left"/>
            </w:pPr>
            <w:r/>
            <w:r>
              <w:rPr>
                <w:b w:val="0"/>
                <w:sz w:val="18"/>
              </w:rPr>
              <w:t>1.0</w:t>
            </w:r>
          </w:p>
        </w:tc>
        <w:tc>
          <w:tcPr>
            <w:tcW w:type="dxa" w:w="2880"/>
          </w:tcPr>
          <w:p>
            <w:pPr>
              <w:jc w:val="left"/>
            </w:pPr>
            <w:r/>
            <w:r>
              <w:rPr>
                <w:b/>
                <w:sz w:val="18"/>
              </w:rPr>
              <w:t>0.859</w:t>
            </w:r>
            <w:r>
              <w:rPr>
                <w:b w:val="0"/>
                <w:sz w:val="18"/>
              </w:rPr>
              <w:t xml:space="preserve"> ± 0.000</w:t>
            </w:r>
          </w:p>
        </w:tc>
        <w:tc>
          <w:tcPr>
            <w:tcW w:type="dxa" w:w="2880"/>
          </w:tcPr>
          <w:p>
            <w:pPr>
              <w:jc w:val="left"/>
            </w:pPr>
            <w:r/>
            <w:r>
              <w:rPr>
                <w:b w:val="0"/>
                <w:sz w:val="18"/>
              </w:rPr>
              <w:t>完全反転 → 逆DAGで回復</w:t>
            </w:r>
          </w:p>
        </w:tc>
      </w:tr>
    </w:tbl>
    <w:p/>
    <w:p>
      <w:r>
        <w:rPr>
          <w:b/>
        </w:rPr>
        <w:t>U字型カーブ</w:t>
      </w:r>
      <w:r>
        <w:rPr>
          <w:b w:val="0"/>
        </w:rPr>
        <w:t>（図9D）：</w:t>
      </w:r>
      <w:r>
        <w:rPr>
          <w:rFonts w:ascii="Cambria Math" w:hAnsi="Cambria Math"/>
        </w:rPr>
        <w:t>p</w:t>
      </w:r>
      <w:r>
        <w:rPr>
          <w:rFonts w:ascii="Cambria Math" w:hAnsi="Cambria Math"/>
          <w:vertAlign w:val="subscript"/>
        </w:rPr>
        <w:t>flip</w:t>
      </w:r>
      <w:r>
        <w:rPr>
          <w:rFonts w:ascii="Cambria Math" w:hAnsi="Cambria Math"/>
        </w:rPr>
        <w:t xml:space="preserve"> = 0</w:t>
      </w:r>
      <w:r>
        <w:rPr>
          <w:b w:val="0"/>
        </w:rPr>
        <w:t xml:space="preserve"> と </w:t>
      </w:r>
      <w:r>
        <w:rPr>
          <w:rFonts w:ascii="Cambria Math" w:hAnsi="Cambria Math"/>
        </w:rPr>
        <w:t>p</w:t>
      </w:r>
      <w:r>
        <w:rPr>
          <w:rFonts w:ascii="Cambria Math" w:hAnsi="Cambria Math"/>
          <w:vertAlign w:val="subscript"/>
        </w:rPr>
        <w:t>flip</w:t>
      </w:r>
      <w:r>
        <w:rPr>
          <w:rFonts w:ascii="Cambria Math" w:hAnsi="Cambria Math"/>
        </w:rPr>
        <w:t xml:space="preserve"> = 1</w:t>
      </w:r>
      <w:r>
        <w:rPr>
          <w:b w:val="0"/>
        </w:rPr>
        <w:t xml:space="preserve"> で同じDAG度。最低点は </w:t>
      </w:r>
      <w:r>
        <w:rPr>
          <w:rFonts w:ascii="Cambria Math" w:hAnsi="Cambria Math"/>
        </w:rPr>
        <w:t>p</w:t>
      </w:r>
      <w:r>
        <w:rPr>
          <w:rFonts w:ascii="Cambria Math" w:hAnsi="Cambria Math"/>
          <w:vertAlign w:val="subscript"/>
        </w:rPr>
        <w:t>flip</w:t>
      </w:r>
      <w:r>
        <w:rPr>
          <w:rFonts w:ascii="Cambria Math" w:hAnsi="Cambria Math"/>
        </w:rPr>
        <w:t xml:space="preserve"> ≈ 0.3</w:t>
      </w:r>
      <w:r>
        <w:rPr>
          <w:b w:val="0"/>
        </w:rPr>
        <w:t>。これは「</w:t>
      </w:r>
      <w:r>
        <w:rPr>
          <w:b/>
        </w:rPr>
        <w:t>部分的な誤情報は完全な無知より悪い</w:t>
      </w:r>
      <w:r>
        <w:rPr>
          <w:b w:val="0"/>
        </w:rPr>
        <w:t>」ことの定量的証拠。</w:t>
      </w:r>
    </w:p>
    <w:p>
      <w:r>
        <w:rPr>
          <w:b w:val="0"/>
        </w:rPr>
        <w:t>DAG度が50%を超える閾値：</w:t>
      </w:r>
      <w:r>
        <w:rPr>
          <w:rFonts w:ascii="Cambria Math" w:hAnsi="Cambria Math"/>
        </w:rPr>
        <w:t>p</w:t>
      </w:r>
      <w:r>
        <w:rPr>
          <w:rFonts w:ascii="Cambria Math" w:hAnsi="Cambria Math"/>
          <w:vertAlign w:val="subscript"/>
        </w:rPr>
        <w:t>flip</w:t>
      </w:r>
      <w:r>
        <w:rPr>
          <w:rFonts w:ascii="Cambria Math" w:hAnsi="Cambria Math"/>
          <w:vertAlign w:val="superscript"/>
        </w:rPr>
        <w:t>*</w:t>
      </w:r>
      <w:r>
        <w:rPr>
          <w:rFonts w:ascii="Cambria Math" w:hAnsi="Cambria Math"/>
        </w:rPr>
        <w:t xml:space="preserve"> ≈ 0.15</w:t>
      </w:r>
      <w:r>
        <w:rPr>
          <w:b w:val="0"/>
        </w:rPr>
        <w:t>（</w:t>
      </w:r>
      <w:r>
        <w:rPr>
          <w:b/>
        </w:rPr>
        <w:t>ドメイン知識の85%以上が正しければDAG構造が維持される</w:t>
      </w:r>
      <w:r>
        <w:rPr>
          <w:b w:val="0"/>
        </w:rPr>
        <w:t>）。</w:t>
      </w:r>
    </w:p>
    <w:p>
      <w:pPr>
        <w:pStyle w:val="Heading2"/>
      </w:pPr>
      <w:r>
        <w:rPr>
          <w:b w:val="0"/>
        </w:rPr>
        <w:t>5.3 Leave-One-Edge-Out：根ノードの方向性が骨格</w:t>
      </w:r>
    </w:p>
    <w:p>
      <w:r>
        <w:rPr>
          <w:b w:val="0"/>
        </w:rPr>
        <w:t>各変数ペアの方向性ドメイン知識を除去した影響：</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除去した辺</w:t>
            </w:r>
          </w:p>
        </w:tc>
        <w:tc>
          <w:tcPr>
            <w:tcW w:type="dxa" w:w="2880"/>
          </w:tcPr>
          <w:p>
            <w:pPr>
              <w:jc w:val="left"/>
            </w:pPr>
            <w:r>
              <w:rPr>
                <w:b/>
              </w:rPr>
            </w:r>
            <w:r>
              <w:rPr>
                <w:rFonts w:ascii="Cambria Math" w:hAnsi="Cambria Math"/>
                <w:b/>
                <w:sz w:val="18"/>
              </w:rPr>
              <w:t>Δ r</w:t>
            </w:r>
            <w:r>
              <w:rPr>
                <w:rFonts w:ascii="Cambria Math" w:hAnsi="Cambria Math"/>
                <w:b/>
                <w:sz w:val="18"/>
                <w:vertAlign w:val="subscript"/>
              </w:rPr>
              <w:t>gradient</w:t>
            </w:r>
          </w:p>
        </w:tc>
        <w:tc>
          <w:tcPr>
            <w:tcW w:type="dxa" w:w="2880"/>
          </w:tcPr>
          <w:p>
            <w:pPr>
              <w:jc w:val="left"/>
            </w:pPr>
            <w:r/>
            <w:r>
              <w:rPr>
                <w:b/>
                <w:sz w:val="18"/>
              </w:rPr>
              <w:t>重要度</w:t>
            </w:r>
          </w:p>
        </w:tc>
      </w:tr>
      <w:tr>
        <w:tc>
          <w:tcPr>
            <w:tcW w:type="dxa" w:w="2880"/>
          </w:tcPr>
          <w:p>
            <w:pPr>
              <w:jc w:val="left"/>
            </w:pPr>
            <w:r/>
            <w:r>
              <w:rPr>
                <w:b/>
                <w:sz w:val="18"/>
              </w:rPr>
              <w:t>Age ↔ STDep</w:t>
            </w:r>
          </w:p>
        </w:tc>
        <w:tc>
          <w:tcPr>
            <w:tcW w:type="dxa" w:w="2880"/>
          </w:tcPr>
          <w:p>
            <w:pPr>
              <w:jc w:val="left"/>
            </w:pPr>
            <w:r/>
            <w:r>
              <w:rPr>
                <w:b/>
                <w:sz w:val="18"/>
              </w:rPr>
              <w:t>−0.267</w:t>
            </w:r>
          </w:p>
        </w:tc>
        <w:tc>
          <w:tcPr>
            <w:tcW w:type="dxa" w:w="2880"/>
          </w:tcPr>
          <w:p>
            <w:pPr>
              <w:jc w:val="left"/>
            </w:pPr>
            <w:r/>
            <w:r>
              <w:rPr>
                <w:b w:val="0"/>
                <w:sz w:val="18"/>
              </w:rPr>
              <w:t>★★★</w:t>
            </w:r>
          </w:p>
        </w:tc>
      </w:tr>
      <w:tr>
        <w:tc>
          <w:tcPr>
            <w:tcW w:type="dxa" w:w="2880"/>
          </w:tcPr>
          <w:p>
            <w:pPr>
              <w:jc w:val="left"/>
            </w:pPr>
            <w:r/>
            <w:r>
              <w:rPr>
                <w:b w:val="0"/>
                <w:sz w:val="18"/>
              </w:rPr>
              <w:t>Age ↔ MaxHR</w:t>
            </w:r>
          </w:p>
        </w:tc>
        <w:tc>
          <w:tcPr>
            <w:tcW w:type="dxa" w:w="2880"/>
          </w:tcPr>
          <w:p>
            <w:pPr>
              <w:jc w:val="left"/>
            </w:pPr>
            <w:r/>
            <w:r>
              <w:rPr>
                <w:b w:val="0"/>
                <w:sz w:val="18"/>
              </w:rPr>
              <w:t>−0.098</w:t>
            </w:r>
          </w:p>
        </w:tc>
        <w:tc>
          <w:tcPr>
            <w:tcW w:type="dxa" w:w="2880"/>
          </w:tcPr>
          <w:p>
            <w:pPr>
              <w:jc w:val="left"/>
            </w:pPr>
            <w:r/>
            <w:r>
              <w:rPr>
                <w:b w:val="0"/>
                <w:sz w:val="18"/>
              </w:rPr>
              <w:t>★★</w:t>
            </w:r>
          </w:p>
        </w:tc>
      </w:tr>
      <w:tr>
        <w:tc>
          <w:tcPr>
            <w:tcW w:type="dxa" w:w="2880"/>
          </w:tcPr>
          <w:p>
            <w:pPr>
              <w:jc w:val="left"/>
            </w:pPr>
            <w:r/>
            <w:r>
              <w:rPr>
                <w:b w:val="0"/>
                <w:sz w:val="18"/>
              </w:rPr>
              <w:t>Age ↔ Chol</w:t>
            </w:r>
          </w:p>
        </w:tc>
        <w:tc>
          <w:tcPr>
            <w:tcW w:type="dxa" w:w="2880"/>
          </w:tcPr>
          <w:p>
            <w:pPr>
              <w:jc w:val="left"/>
            </w:pPr>
            <w:r/>
            <w:r>
              <w:rPr>
                <w:b w:val="0"/>
                <w:sz w:val="18"/>
              </w:rPr>
              <w:t>−0.069</w:t>
            </w:r>
          </w:p>
        </w:tc>
        <w:tc>
          <w:tcPr>
            <w:tcW w:type="dxa" w:w="2880"/>
          </w:tcPr>
          <w:p>
            <w:pPr>
              <w:jc w:val="left"/>
            </w:pPr>
            <w:r/>
            <w:r>
              <w:rPr>
                <w:b w:val="0"/>
                <w:sz w:val="18"/>
              </w:rPr>
              <w:t>★★</w:t>
            </w:r>
          </w:p>
        </w:tc>
      </w:tr>
      <w:tr>
        <w:tc>
          <w:tcPr>
            <w:tcW w:type="dxa" w:w="2880"/>
          </w:tcPr>
          <w:p>
            <w:pPr>
              <w:jc w:val="left"/>
            </w:pPr>
            <w:r/>
            <w:r>
              <w:rPr>
                <w:b w:val="0"/>
                <w:sz w:val="18"/>
              </w:rPr>
              <w:t>Age ↔ RestBP</w:t>
            </w:r>
          </w:p>
        </w:tc>
        <w:tc>
          <w:tcPr>
            <w:tcW w:type="dxa" w:w="2880"/>
          </w:tcPr>
          <w:p>
            <w:pPr>
              <w:jc w:val="left"/>
            </w:pPr>
            <w:r/>
            <w:r>
              <w:rPr>
                <w:b w:val="0"/>
                <w:sz w:val="18"/>
              </w:rPr>
              <w:t>−0.040</w:t>
            </w:r>
          </w:p>
        </w:tc>
        <w:tc>
          <w:tcPr>
            <w:tcW w:type="dxa" w:w="2880"/>
          </w:tcPr>
          <w:p>
            <w:pPr>
              <w:jc w:val="left"/>
            </w:pPr>
            <w:r/>
            <w:r>
              <w:rPr>
                <w:b w:val="0"/>
                <w:sz w:val="18"/>
              </w:rPr>
              <w:t>★</w:t>
            </w:r>
          </w:p>
        </w:tc>
      </w:tr>
      <w:tr>
        <w:tc>
          <w:tcPr>
            <w:tcW w:type="dxa" w:w="2880"/>
          </w:tcPr>
          <w:p>
            <w:pPr>
              <w:jc w:val="left"/>
            </w:pPr>
            <w:r/>
            <w:r>
              <w:rPr>
                <w:b w:val="0"/>
                <w:sz w:val="18"/>
              </w:rPr>
              <w:t>Chol ↔ STDep</w:t>
            </w:r>
          </w:p>
        </w:tc>
        <w:tc>
          <w:tcPr>
            <w:tcW w:type="dxa" w:w="2880"/>
          </w:tcPr>
          <w:p>
            <w:pPr>
              <w:jc w:val="left"/>
            </w:pPr>
            <w:r/>
            <w:r>
              <w:rPr>
                <w:b w:val="0"/>
                <w:sz w:val="18"/>
              </w:rPr>
              <w:t>−0.054</w:t>
            </w:r>
          </w:p>
        </w:tc>
        <w:tc>
          <w:tcPr>
            <w:tcW w:type="dxa" w:w="2880"/>
          </w:tcPr>
          <w:p>
            <w:pPr>
              <w:jc w:val="left"/>
            </w:pPr>
            <w:r/>
            <w:r>
              <w:rPr>
                <w:b w:val="0"/>
                <w:sz w:val="18"/>
              </w:rPr>
              <w:t>★</w:t>
            </w:r>
          </w:p>
        </w:tc>
      </w:tr>
      <w:tr>
        <w:tc>
          <w:tcPr>
            <w:tcW w:type="dxa" w:w="2880"/>
          </w:tcPr>
          <w:p>
            <w:pPr>
              <w:jc w:val="left"/>
            </w:pPr>
            <w:r/>
            <w:r>
              <w:rPr>
                <w:b w:val="0"/>
                <w:sz w:val="18"/>
              </w:rPr>
              <w:t>RestBP ↔ MaxHR</w:t>
            </w:r>
          </w:p>
        </w:tc>
        <w:tc>
          <w:tcPr>
            <w:tcW w:type="dxa" w:w="2880"/>
          </w:tcPr>
          <w:p>
            <w:pPr>
              <w:jc w:val="left"/>
            </w:pPr>
            <w:r/>
            <w:r>
              <w:rPr>
                <w:b w:val="0"/>
                <w:sz w:val="18"/>
              </w:rPr>
              <w:t>+0.015</w:t>
            </w:r>
          </w:p>
        </w:tc>
        <w:tc>
          <w:tcPr>
            <w:tcW w:type="dxa" w:w="2880"/>
          </w:tcPr>
          <w:p>
            <w:pPr>
              <w:jc w:val="left"/>
            </w:pPr>
            <w:r/>
            <w:r>
              <w:rPr>
                <w:b w:val="0"/>
                <w:sz w:val="18"/>
              </w:rPr>
              <w:t>除去で改善</w:t>
            </w:r>
          </w:p>
        </w:tc>
      </w:tr>
    </w:tbl>
    <w:p/>
    <w:p>
      <w:r>
        <w:rPr>
          <w:b/>
        </w:rPr>
        <w:t>Age（根ノード）関連の辺がDAG構造の骨格</w:t>
      </w:r>
      <w:r>
        <w:rPr>
          <w:b w:val="0"/>
        </w:rPr>
        <w:t>。「この変数は外生的だ（他の変数に影響されない）」という最小限の知識が、DAG構造維持に最大のレバレッジを持つ。</w:t>
      </w:r>
    </w:p>
    <w:p>
      <w:pPr>
        <w:pStyle w:val="Heading2"/>
      </w:pPr>
      <w:r>
        <w:rPr>
          <w:b w:val="0"/>
        </w:rPr>
        <w:t>5.4 ランダムなドメイン知識（方向がデタラメ）との比較</w:t>
      </w:r>
    </w:p>
    <w:p>
      <w:r>
        <w:rPr>
          <w:rFonts w:ascii="Cambria Math" w:hAnsi="Cambria Math"/>
        </w:rPr>
        <w:t>C</w:t>
      </w:r>
      <w:r>
        <w:rPr>
          <w:rFonts w:ascii="Cambria Math" w:hAnsi="Cambria Math"/>
          <w:vertAlign w:val="subscript"/>
        </w:rPr>
        <w:t>clinical</w:t>
      </w:r>
      <w:r>
        <w:rPr>
          <w:b w:val="0"/>
        </w:rPr>
        <w:t xml:space="preserve"> をランダム行列に置換した場合（50試行平均）：</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α</w:t>
            </w:r>
          </w:p>
        </w:tc>
        <w:tc>
          <w:tcPr>
            <w:tcW w:type="dxa" w:w="2880"/>
          </w:tcPr>
          <w:p>
            <w:pPr>
              <w:jc w:val="left"/>
            </w:pPr>
            <w:r>
              <w:rPr>
                <w:b/>
              </w:rPr>
            </w:r>
            <w:r>
              <w:rPr>
                <w:rFonts w:ascii="Cambria Math" w:hAnsi="Cambria Math"/>
                <w:b/>
                <w:sz w:val="18"/>
              </w:rPr>
              <w:t>r</w:t>
            </w:r>
            <w:r>
              <w:rPr>
                <w:rFonts w:ascii="Cambria Math" w:hAnsi="Cambria Math"/>
                <w:b/>
                <w:sz w:val="18"/>
                <w:vertAlign w:val="subscript"/>
              </w:rPr>
              <w:t>gradient</w:t>
            </w:r>
            <w:r>
              <w:rPr>
                <w:b/>
                <w:sz w:val="18"/>
              </w:rPr>
              <w:t>（平均 ± SD）</w:t>
            </w:r>
          </w:p>
        </w:tc>
        <w:tc>
          <w:tcPr>
            <w:tcW w:type="dxa" w:w="2880"/>
          </w:tcPr>
          <w:p>
            <w:pPr>
              <w:jc w:val="left"/>
            </w:pPr>
            <w:r/>
            <w:r>
              <w:rPr>
                <w:b/>
                <w:sz w:val="18"/>
              </w:rPr>
              <w:t>範囲</w:t>
            </w:r>
          </w:p>
        </w:tc>
      </w:tr>
      <w:tr>
        <w:tc>
          <w:tcPr>
            <w:tcW w:type="dxa" w:w="2880"/>
          </w:tcPr>
          <w:p>
            <w:pPr>
              <w:jc w:val="left"/>
            </w:pPr>
            <w:r/>
            <w:r>
              <w:rPr>
                <w:b w:val="0"/>
                <w:sz w:val="18"/>
              </w:rPr>
              <w:t>0.1</w:t>
            </w:r>
          </w:p>
        </w:tc>
        <w:tc>
          <w:tcPr>
            <w:tcW w:type="dxa" w:w="2880"/>
          </w:tcPr>
          <w:p>
            <w:pPr>
              <w:jc w:val="left"/>
            </w:pPr>
            <w:r/>
            <w:r>
              <w:rPr>
                <w:b w:val="0"/>
                <w:sz w:val="18"/>
              </w:rPr>
              <w:t>0.468 ± 0.197</w:t>
            </w:r>
          </w:p>
        </w:tc>
        <w:tc>
          <w:tcPr>
            <w:tcW w:type="dxa" w:w="2880"/>
          </w:tcPr>
          <w:p>
            <w:pPr>
              <w:jc w:val="left"/>
            </w:pPr>
            <w:r/>
            <w:r>
              <w:rPr>
                <w:b w:val="0"/>
                <w:sz w:val="18"/>
              </w:rPr>
              <w:t>[0.091, 0.853]</w:t>
            </w:r>
          </w:p>
        </w:tc>
      </w:tr>
      <w:tr>
        <w:tc>
          <w:tcPr>
            <w:tcW w:type="dxa" w:w="2880"/>
          </w:tcPr>
          <w:p>
            <w:pPr>
              <w:jc w:val="left"/>
            </w:pPr>
            <w:r/>
            <w:r>
              <w:rPr>
                <w:b w:val="0"/>
                <w:sz w:val="18"/>
              </w:rPr>
              <w:t>0.3</w:t>
            </w:r>
          </w:p>
        </w:tc>
        <w:tc>
          <w:tcPr>
            <w:tcW w:type="dxa" w:w="2880"/>
          </w:tcPr>
          <w:p>
            <w:pPr>
              <w:jc w:val="left"/>
            </w:pPr>
            <w:r/>
            <w:r>
              <w:rPr>
                <w:b w:val="0"/>
                <w:sz w:val="18"/>
              </w:rPr>
              <w:t>0.438 ± 0.212</w:t>
            </w:r>
          </w:p>
        </w:tc>
        <w:tc>
          <w:tcPr>
            <w:tcW w:type="dxa" w:w="2880"/>
          </w:tcPr>
          <w:p>
            <w:pPr>
              <w:jc w:val="left"/>
            </w:pPr>
            <w:r/>
            <w:r>
              <w:rPr>
                <w:b w:val="0"/>
                <w:sz w:val="18"/>
              </w:rPr>
              <w:t>[0.052, 0.837]</w:t>
            </w:r>
          </w:p>
        </w:tc>
      </w:tr>
      <w:tr>
        <w:tc>
          <w:tcPr>
            <w:tcW w:type="dxa" w:w="2880"/>
          </w:tcPr>
          <w:p>
            <w:pPr>
              <w:jc w:val="left"/>
            </w:pPr>
            <w:r/>
            <w:r>
              <w:rPr>
                <w:b w:val="0"/>
                <w:sz w:val="18"/>
              </w:rPr>
              <w:t>0.5</w:t>
            </w:r>
          </w:p>
        </w:tc>
        <w:tc>
          <w:tcPr>
            <w:tcW w:type="dxa" w:w="2880"/>
          </w:tcPr>
          <w:p>
            <w:pPr>
              <w:jc w:val="left"/>
            </w:pPr>
            <w:r/>
            <w:r>
              <w:rPr>
                <w:b w:val="0"/>
                <w:sz w:val="18"/>
              </w:rPr>
              <w:t>0.401 ± 0.212</w:t>
            </w:r>
          </w:p>
        </w:tc>
        <w:tc>
          <w:tcPr>
            <w:tcW w:type="dxa" w:w="2880"/>
          </w:tcPr>
          <w:p>
            <w:pPr>
              <w:jc w:val="left"/>
            </w:pPr>
            <w:r/>
            <w:r>
              <w:rPr>
                <w:b w:val="0"/>
                <w:sz w:val="18"/>
              </w:rPr>
              <w:t>[0.041, 0.831]</w:t>
            </w:r>
          </w:p>
        </w:tc>
      </w:tr>
      <w:tr>
        <w:tc>
          <w:tcPr>
            <w:tcW w:type="dxa" w:w="2880"/>
          </w:tcPr>
          <w:p>
            <w:pPr>
              <w:jc w:val="left"/>
            </w:pPr>
            <w:r/>
            <w:r>
              <w:rPr>
                <w:b w:val="0"/>
                <w:sz w:val="18"/>
              </w:rPr>
              <w:t>0.8</w:t>
            </w:r>
          </w:p>
        </w:tc>
        <w:tc>
          <w:tcPr>
            <w:tcW w:type="dxa" w:w="2880"/>
          </w:tcPr>
          <w:p>
            <w:pPr>
              <w:jc w:val="left"/>
            </w:pPr>
            <w:r/>
            <w:r>
              <w:rPr>
                <w:b w:val="0"/>
                <w:sz w:val="18"/>
              </w:rPr>
              <w:t>0.410 ± 0.197</w:t>
            </w:r>
          </w:p>
        </w:tc>
        <w:tc>
          <w:tcPr>
            <w:tcW w:type="dxa" w:w="2880"/>
          </w:tcPr>
          <w:p>
            <w:pPr>
              <w:jc w:val="left"/>
            </w:pPr>
            <w:r/>
            <w:r>
              <w:rPr>
                <w:b w:val="0"/>
                <w:sz w:val="18"/>
              </w:rPr>
              <w:t>[0.067, 0.815]</w:t>
            </w:r>
          </w:p>
        </w:tc>
      </w:tr>
    </w:tbl>
    <w:p/>
    <w:p>
      <w:r>
        <w:rPr>
          <w:b w:val="0"/>
        </w:rPr>
        <w:t xml:space="preserve">ランダムな知識では </w:t>
      </w:r>
      <w:r>
        <w:rPr>
          <w:rFonts w:ascii="Cambria Math" w:hAnsi="Cambria Math"/>
        </w:rPr>
        <w:t>r</w:t>
      </w:r>
      <w:r>
        <w:rPr>
          <w:rFonts w:ascii="Cambria Math" w:hAnsi="Cambria Math"/>
          <w:vertAlign w:val="subscript"/>
        </w:rPr>
        <w:t>gradient</w:t>
      </w:r>
      <w:r>
        <w:rPr>
          <w:rFonts w:ascii="Cambria Math" w:hAnsi="Cambria Math"/>
        </w:rPr>
        <w:t xml:space="preserve"> ≈ 0.4</w:t>
      </w:r>
      <w:r>
        <w:rPr>
          <w:b w:val="0"/>
        </w:rPr>
        <w:t xml:space="preserve">（ほぼ半々＝構造なし）。正しい臨床知識の0.859と大きく異なる。DAG度は </w:t>
      </w:r>
      <w:r>
        <w:rPr>
          <w:rFonts w:ascii="Cambria Math" w:hAnsi="Cambria Math"/>
        </w:rPr>
        <w:t>α</w:t>
      </w:r>
      <w:r>
        <w:rPr>
          <w:b w:val="0"/>
        </w:rPr>
        <w:t xml:space="preserve"> の大きさではなく、</w:t>
      </w:r>
      <w:r>
        <w:rPr>
          <w:b/>
        </w:rPr>
        <w:t>ドメイン知識の内部整合性</w:t>
      </w:r>
      <w:r>
        <w:rPr>
          <w:b w:val="0"/>
        </w:rPr>
        <w:t>（方向の一貫性）に依存する。</w:t>
      </w:r>
    </w:p>
    <w:p>
      <w:pPr>
        <w:pStyle w:val="Heading2"/>
      </w:pPr>
      <w:r>
        <w:rPr>
          <w:b w:val="0"/>
        </w:rPr>
        <w:t>5.5 U字型カーブの説明</w:t>
      </w:r>
    </w:p>
    <w:p>
      <w:r>
        <w:rPr>
          <w:rFonts w:ascii="Cambria Math" w:hAnsi="Cambria Math"/>
        </w:rPr>
        <w:t>p</w:t>
      </w:r>
      <w:r>
        <w:rPr>
          <w:rFonts w:ascii="Cambria Math" w:hAnsi="Cambria Math"/>
          <w:vertAlign w:val="subscript"/>
        </w:rPr>
        <w:t>flip</w:t>
      </w:r>
      <w:r>
        <w:rPr>
          <w:rFonts w:ascii="Cambria Math" w:hAnsi="Cambria Math"/>
        </w:rPr>
        <w:t xml:space="preserve"> = 0</w:t>
      </w:r>
      <w:r>
        <w:rPr>
          <w:b w:val="0"/>
        </w:rPr>
        <w:t xml:space="preserve">（全辺正しい）と </w:t>
      </w:r>
      <w:r>
        <w:rPr>
          <w:rFonts w:ascii="Cambria Math" w:hAnsi="Cambria Math"/>
        </w:rPr>
        <w:t>p</w:t>
      </w:r>
      <w:r>
        <w:rPr>
          <w:rFonts w:ascii="Cambria Math" w:hAnsi="Cambria Math"/>
          <w:vertAlign w:val="subscript"/>
        </w:rPr>
        <w:t>flip</w:t>
      </w:r>
      <w:r>
        <w:rPr>
          <w:rFonts w:ascii="Cambria Math" w:hAnsi="Cambria Math"/>
        </w:rPr>
        <w:t xml:space="preserve"> = 1</w:t>
      </w:r>
      <w:r>
        <w:rPr>
          <w:b w:val="0"/>
        </w:rPr>
        <w:t>（全辺反転）で同じDAG度になるのは直感に反するが、理由は明確：</w:t>
      </w:r>
    </w:p>
    <w:p>
      <w:pPr>
        <w:pStyle w:val="ListBullet"/>
      </w:pPr>
      <w:r>
        <w:rPr>
          <w:rFonts w:ascii="Cambria Math" w:hAnsi="Cambria Math"/>
        </w:rPr>
        <w:t>p = 0</w:t>
      </w:r>
      <w:r>
        <w:rPr>
          <w:b w:val="0"/>
        </w:rPr>
        <w:t>: 全辺が整合的 → 強いDAG</w:t>
      </w:r>
    </w:p>
    <w:p>
      <w:pPr>
        <w:pStyle w:val="ListBullet"/>
      </w:pPr>
      <w:r>
        <w:rPr>
          <w:rFonts w:ascii="Cambria Math" w:hAnsi="Cambria Math"/>
        </w:rPr>
        <w:t>p = 1</w:t>
      </w:r>
      <w:r>
        <w:rPr>
          <w:b w:val="0"/>
        </w:rPr>
        <w:t>: 全辺が逆転しているが、</w:t>
      </w:r>
      <w:r>
        <w:rPr>
          <w:b/>
        </w:rPr>
        <w:t>互いに整合的</w:t>
      </w:r>
      <w:r>
        <w:rPr>
          <w:b w:val="0"/>
        </w:rPr>
        <w:t xml:space="preserve"> → 逆方向の強いDAG</w:t>
      </w:r>
    </w:p>
    <w:p>
      <w:pPr>
        <w:pStyle w:val="ListBullet"/>
      </w:pPr>
      <w:r>
        <w:rPr>
          <w:rFonts w:ascii="Cambria Math" w:hAnsi="Cambria Math"/>
        </w:rPr>
        <w:t>p ≈ 0.3</w:t>
      </w:r>
      <w:r>
        <w:rPr>
          <w:b w:val="0"/>
        </w:rPr>
        <w:t xml:space="preserve">: 一部が正、一部が逆 → </w:t>
      </w:r>
      <w:r>
        <w:rPr>
          <w:b/>
        </w:rPr>
        <w:t>矛盾する方向指示</w:t>
      </w:r>
      <w:r>
        <w:rPr>
          <w:b w:val="0"/>
        </w:rPr>
        <w:t xml:space="preserve"> → カール（循環）が最大化</w:t>
      </w:r>
    </w:p>
    <w:p>
      <w:pPr>
        <w:ind w:left="850"/>
      </w:pPr>
      <w:r>
        <w:rPr>
          <w:b/>
        </w:rPr>
        <w:t>「部分的な誤情報は完全な無知より悪い」</w:t>
      </w:r>
      <w:r>
        <w:rPr>
          <w:b w:val="0"/>
        </w:rPr>
        <w:t xml:space="preserve"> — これはドメイン知識の注入における根本的な注意点である。</w:t>
      </w:r>
    </w:p>
    <w:p>
      <w:pPr>
        <w:pStyle w:val="Heading2"/>
      </w:pPr>
      <w:r>
        <w:rPr>
          <w:b w:val="0"/>
        </w:rPr>
        <w:t>5.6 相転移の物理学的類推</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
              <w:rPr>
                <w:b/>
                <w:sz w:val="18"/>
              </w:rPr>
              <w:t>物理系</w:t>
            </w:r>
          </w:p>
        </w:tc>
        <w:tc>
          <w:tcPr>
            <w:tcW w:type="dxa" w:w="4320"/>
          </w:tcPr>
          <w:p>
            <w:pPr>
              <w:jc w:val="left"/>
            </w:pPr>
            <w:r/>
            <w:r>
              <w:rPr>
                <w:b/>
                <w:sz w:val="18"/>
              </w:rPr>
              <w:t>因果推定系</w:t>
            </w:r>
          </w:p>
        </w:tc>
      </w:tr>
      <w:tr>
        <w:tc>
          <w:tcPr>
            <w:tcW w:type="dxa" w:w="4320"/>
          </w:tcPr>
          <w:p>
            <w:pPr>
              <w:jc w:val="left"/>
            </w:pPr>
            <w:r/>
            <w:r>
              <w:rPr>
                <w:b w:val="0"/>
                <w:sz w:val="18"/>
              </w:rPr>
              <w:t xml:space="preserve">温度 </w:t>
            </w:r>
            <w:r>
              <w:rPr>
                <w:rFonts w:ascii="Cambria Math" w:hAnsi="Cambria Math"/>
                <w:sz w:val="18"/>
              </w:rPr>
              <w:t>T</w:t>
            </w:r>
          </w:p>
        </w:tc>
        <w:tc>
          <w:tcPr>
            <w:tcW w:type="dxa" w:w="4320"/>
          </w:tcPr>
          <w:p>
            <w:pPr>
              <w:jc w:val="left"/>
            </w:pPr>
            <w:r/>
            <w:r>
              <w:rPr>
                <w:b w:val="0"/>
                <w:sz w:val="18"/>
              </w:rPr>
              <w:t xml:space="preserve">知識品質 </w:t>
            </w:r>
            <w:r>
              <w:rPr>
                <w:rFonts w:ascii="Cambria Math" w:hAnsi="Cambria Math"/>
                <w:sz w:val="18"/>
              </w:rPr>
              <w:t>1 - p</w:t>
            </w:r>
            <w:r>
              <w:rPr>
                <w:rFonts w:ascii="Cambria Math" w:hAnsi="Cambria Math"/>
                <w:sz w:val="18"/>
                <w:vertAlign w:val="subscript"/>
              </w:rPr>
              <w:t>flip</w:t>
            </w:r>
          </w:p>
        </w:tc>
      </w:tr>
      <w:tr>
        <w:tc>
          <w:tcPr>
            <w:tcW w:type="dxa" w:w="4320"/>
          </w:tcPr>
          <w:p>
            <w:pPr>
              <w:jc w:val="left"/>
            </w:pPr>
            <w:r/>
            <w:r>
              <w:rPr>
                <w:b w:val="0"/>
                <w:sz w:val="18"/>
              </w:rPr>
              <w:t>秩序パラメータ</w:t>
            </w:r>
          </w:p>
        </w:tc>
        <w:tc>
          <w:tcPr>
            <w:tcW w:type="dxa" w:w="4320"/>
          </w:tcPr>
          <w:p>
            <w:pPr>
              <w:jc w:val="left"/>
            </w:pPr>
            <w:r/>
            <w:r>
              <w:rPr>
                <w:rFonts w:ascii="Cambria Math" w:hAnsi="Cambria Math"/>
                <w:sz w:val="18"/>
              </w:rPr>
              <w:t>r</w:t>
            </w:r>
            <w:r>
              <w:rPr>
                <w:rFonts w:ascii="Cambria Math" w:hAnsi="Cambria Math"/>
                <w:sz w:val="18"/>
                <w:vertAlign w:val="subscript"/>
              </w:rPr>
              <w:t>gradient</w:t>
            </w:r>
            <w:r>
              <w:rPr>
                <w:b w:val="0"/>
                <w:sz w:val="18"/>
              </w:rPr>
              <w:t>（DAG度）</w:t>
            </w:r>
          </w:p>
        </w:tc>
      </w:tr>
      <w:tr>
        <w:tc>
          <w:tcPr>
            <w:tcW w:type="dxa" w:w="4320"/>
          </w:tcPr>
          <w:p>
            <w:pPr>
              <w:jc w:val="left"/>
            </w:pPr>
            <w:r/>
            <w:r>
              <w:rPr>
                <w:b w:val="0"/>
                <w:sz w:val="18"/>
              </w:rPr>
              <w:t xml:space="preserve">外部磁場 </w:t>
            </w:r>
            <w:r>
              <w:rPr>
                <w:rFonts w:ascii="Cambria Math" w:hAnsi="Cambria Math"/>
                <w:sz w:val="18"/>
              </w:rPr>
              <w:t>h</w:t>
            </w:r>
          </w:p>
        </w:tc>
        <w:tc>
          <w:tcPr>
            <w:tcW w:type="dxa" w:w="4320"/>
          </w:tcPr>
          <w:p>
            <w:pPr>
              <w:jc w:val="left"/>
            </w:pPr>
            <w:r/>
            <w:r>
              <w:rPr>
                <w:b w:val="0"/>
                <w:sz w:val="18"/>
              </w:rPr>
              <w:t xml:space="preserve">知識量 </w:t>
            </w:r>
            <w:r>
              <w:rPr>
                <w:rFonts w:ascii="Cambria Math" w:hAnsi="Cambria Math"/>
                <w:sz w:val="18"/>
              </w:rPr>
              <w:t>α</w:t>
            </w:r>
          </w:p>
        </w:tc>
      </w:tr>
      <w:tr>
        <w:tc>
          <w:tcPr>
            <w:tcW w:type="dxa" w:w="4320"/>
          </w:tcPr>
          <w:p>
            <w:pPr>
              <w:jc w:val="left"/>
            </w:pPr>
            <w:r/>
            <w:r>
              <w:rPr>
                <w:b w:val="0"/>
                <w:sz w:val="18"/>
              </w:rPr>
              <w:t xml:space="preserve">相転移温度 </w:t>
            </w:r>
            <w:r>
              <w:rPr>
                <w:rFonts w:ascii="Cambria Math" w:hAnsi="Cambria Math"/>
                <w:sz w:val="18"/>
              </w:rPr>
              <w:t>T</w:t>
            </w:r>
            <w:r>
              <w:rPr>
                <w:rFonts w:ascii="Cambria Math" w:hAnsi="Cambria Math"/>
                <w:sz w:val="18"/>
                <w:vertAlign w:val="subscript"/>
              </w:rPr>
              <w:t>c</w:t>
            </w:r>
          </w:p>
        </w:tc>
        <w:tc>
          <w:tcPr>
            <w:tcW w:type="dxa" w:w="4320"/>
          </w:tcPr>
          <w:p>
            <w:pPr>
              <w:jc w:val="left"/>
            </w:pPr>
            <w:r/>
            <w:r>
              <w:rPr>
                <w:rFonts w:ascii="Cambria Math" w:hAnsi="Cambria Math"/>
                <w:sz w:val="18"/>
              </w:rPr>
              <w:t>p</w:t>
            </w:r>
            <w:r>
              <w:rPr>
                <w:rFonts w:ascii="Cambria Math" w:hAnsi="Cambria Math"/>
                <w:sz w:val="18"/>
                <w:vertAlign w:val="subscript"/>
              </w:rPr>
              <w:t>flip</w:t>
            </w:r>
            <w:r>
              <w:rPr>
                <w:rFonts w:ascii="Cambria Math" w:hAnsi="Cambria Math"/>
                <w:sz w:val="18"/>
                <w:vertAlign w:val="superscript"/>
              </w:rPr>
              <w:t>*</w:t>
            </w:r>
            <w:r>
              <w:rPr>
                <w:rFonts w:ascii="Cambria Math" w:hAnsi="Cambria Math"/>
                <w:sz w:val="18"/>
              </w:rPr>
              <w:t xml:space="preserve"> ≈ 0.15</w:t>
            </w:r>
          </w:p>
        </w:tc>
      </w:tr>
      <w:tr>
        <w:tc>
          <w:tcPr>
            <w:tcW w:type="dxa" w:w="4320"/>
          </w:tcPr>
          <w:p>
            <w:pPr>
              <w:jc w:val="left"/>
            </w:pPr>
            <w:r/>
            <w:r>
              <w:rPr>
                <w:b w:val="0"/>
                <w:sz w:val="18"/>
              </w:rPr>
              <w:t>強磁性相</w:t>
            </w:r>
          </w:p>
        </w:tc>
        <w:tc>
          <w:tcPr>
            <w:tcW w:type="dxa" w:w="4320"/>
          </w:tcPr>
          <w:p>
            <w:pPr>
              <w:jc w:val="left"/>
            </w:pPr>
            <w:r/>
            <w:r>
              <w:rPr>
                <w:b w:val="0"/>
                <w:sz w:val="18"/>
              </w:rPr>
              <w:t>DAG的因果構造</w:t>
            </w:r>
          </w:p>
        </w:tc>
      </w:tr>
      <w:tr>
        <w:tc>
          <w:tcPr>
            <w:tcW w:type="dxa" w:w="4320"/>
          </w:tcPr>
          <w:p>
            <w:pPr>
              <w:jc w:val="left"/>
            </w:pPr>
            <w:r/>
            <w:r>
              <w:rPr>
                <w:b w:val="0"/>
                <w:sz w:val="18"/>
              </w:rPr>
              <w:t>常磁性相</w:t>
            </w:r>
          </w:p>
        </w:tc>
        <w:tc>
          <w:tcPr>
            <w:tcW w:type="dxa" w:w="4320"/>
          </w:tcPr>
          <w:p>
            <w:pPr>
              <w:jc w:val="left"/>
            </w:pPr>
            <w:r/>
            <w:r>
              <w:rPr>
                <w:b w:val="0"/>
                <w:sz w:val="18"/>
              </w:rPr>
              <w:t>循環的（DCG）構造</w:t>
            </w:r>
          </w:p>
        </w:tc>
      </w:tr>
    </w:tbl>
    <w:p/>
    <w:p>
      <w:r>
        <w:rPr>
          <w:rFonts w:ascii="Cambria Math" w:hAnsi="Cambria Math"/>
        </w:rPr>
        <w:t>α</w:t>
      </w:r>
      <w:r>
        <w:rPr>
          <w:b w:val="0"/>
        </w:rPr>
        <w:t xml:space="preserve"> は外部磁場 </w:t>
      </w:r>
      <w:r>
        <w:rPr>
          <w:rFonts w:ascii="Cambria Math" w:hAnsi="Cambria Math"/>
        </w:rPr>
        <w:t>h</w:t>
      </w:r>
      <w:r>
        <w:rPr>
          <w:b w:val="0"/>
        </w:rPr>
        <w:t xml:space="preserve"> に相当：</w:t>
      </w:r>
      <w:r>
        <w:rPr>
          <w:rFonts w:ascii="Cambria Math" w:hAnsi="Cambria Math"/>
        </w:rPr>
        <w:t>h &gt; 0</w:t>
      </w:r>
      <w:r>
        <w:rPr>
          <w:b w:val="0"/>
        </w:rPr>
        <w:t xml:space="preserve"> であれば無限小でも秩序化を誘起する（</w:t>
      </w:r>
      <w:r>
        <w:rPr>
          <w:rFonts w:ascii="Cambria Math" w:hAnsi="Cambria Math"/>
        </w:rPr>
        <w:t>α = 0</w:t>
      </w:r>
      <w:r>
        <w:rPr>
          <w:rFonts w:ascii="Cambria Math" w:hAnsi="Cambria Math"/>
          <w:vertAlign w:val="superscript"/>
        </w:rPr>
        <w:t>+</w:t>
      </w:r>
      <w:r>
        <w:rPr>
          <w:b w:val="0"/>
        </w:rPr>
        <w:t xml:space="preserve"> で即座にDAG）。しかし、温度が高すぎる（</w:t>
      </w:r>
      <w:r>
        <w:rPr>
          <w:rFonts w:ascii="Cambria Math" w:hAnsi="Cambria Math"/>
        </w:rPr>
        <w:t>p</w:t>
      </w:r>
      <w:r>
        <w:rPr>
          <w:rFonts w:ascii="Cambria Math" w:hAnsi="Cambria Math"/>
          <w:vertAlign w:val="subscript"/>
        </w:rPr>
        <w:t>flip</w:t>
      </w:r>
      <w:r>
        <w:rPr>
          <w:rFonts w:ascii="Cambria Math" w:hAnsi="Cambria Math"/>
        </w:rPr>
        <w:t xml:space="preserve"> &gt; 0.15</w:t>
      </w:r>
      <w:r>
        <w:rPr>
          <w:b w:val="0"/>
        </w:rPr>
        <w:t>）と秩序は崩壊する。</w:t>
      </w:r>
    </w:p>
    <w:p>
      <w:pPr>
        <w:pStyle w:val="Heading2"/>
      </w:pPr>
      <w:r>
        <w:rPr>
          <w:b w:val="0"/>
        </w:rPr>
        <w:t>5.7 三つの閾値のまとめ</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閾値</w:t>
            </w:r>
          </w:p>
        </w:tc>
        <w:tc>
          <w:tcPr>
            <w:tcW w:type="dxa" w:w="2880"/>
          </w:tcPr>
          <w:p>
            <w:pPr>
              <w:jc w:val="left"/>
            </w:pPr>
            <w:r/>
            <w:r>
              <w:rPr>
                <w:b/>
                <w:sz w:val="18"/>
              </w:rPr>
              <w:t>値</w:t>
            </w:r>
          </w:p>
        </w:tc>
        <w:tc>
          <w:tcPr>
            <w:tcW w:type="dxa" w:w="2880"/>
          </w:tcPr>
          <w:p>
            <w:pPr>
              <w:jc w:val="left"/>
            </w:pPr>
            <w:r/>
            <w:r>
              <w:rPr>
                <w:b/>
                <w:sz w:val="18"/>
              </w:rPr>
              <w:t>意味</w:t>
            </w:r>
          </w:p>
        </w:tc>
      </w:tr>
      <w:tr>
        <w:tc>
          <w:tcPr>
            <w:tcW w:type="dxa" w:w="2880"/>
          </w:tcPr>
          <w:p>
            <w:pPr>
              <w:jc w:val="left"/>
            </w:pPr>
            <w:r/>
            <w:r>
              <w:rPr>
                <w:rFonts w:ascii="Cambria Math" w:hAnsi="Cambria Math"/>
                <w:sz w:val="18"/>
              </w:rPr>
              <w:t>α</w:t>
            </w:r>
            <w:r>
              <w:rPr>
                <w:rFonts w:ascii="Cambria Math" w:hAnsi="Cambria Math"/>
                <w:sz w:val="18"/>
                <w:vertAlign w:val="superscript"/>
              </w:rPr>
              <w:t>*</w:t>
            </w:r>
            <w:r>
              <w:rPr>
                <w:b w:val="0"/>
                <w:sz w:val="18"/>
              </w:rPr>
              <w:t>（知識量閾値）</w:t>
            </w:r>
          </w:p>
        </w:tc>
        <w:tc>
          <w:tcPr>
            <w:tcW w:type="dxa" w:w="2880"/>
          </w:tcPr>
          <w:p>
            <w:pPr>
              <w:jc w:val="left"/>
            </w:pPr>
            <w:r/>
            <w:r>
              <w:rPr>
                <w:rFonts w:ascii="Cambria Math" w:hAnsi="Cambria Math"/>
                <w:b/>
                <w:sz w:val="18"/>
              </w:rPr>
              <w:t>0</w:t>
            </w:r>
            <w:r>
              <w:rPr>
                <w:rFonts w:ascii="Cambria Math" w:hAnsi="Cambria Math"/>
                <w:b/>
                <w:sz w:val="18"/>
                <w:vertAlign w:val="superscript"/>
              </w:rPr>
              <w:t>+</w:t>
            </w:r>
            <w:r>
              <w:rPr>
                <w:b/>
                <w:sz w:val="18"/>
              </w:rPr>
              <w:t>（不連続）</w:t>
            </w:r>
          </w:p>
        </w:tc>
        <w:tc>
          <w:tcPr>
            <w:tcW w:type="dxa" w:w="2880"/>
          </w:tcPr>
          <w:p>
            <w:pPr>
              <w:jc w:val="left"/>
            </w:pPr>
            <w:r/>
            <w:r>
              <w:rPr>
                <w:b w:val="0"/>
                <w:sz w:val="18"/>
              </w:rPr>
              <w:t>知識量は無限小でもDAGが出現</w:t>
            </w:r>
          </w:p>
        </w:tc>
      </w:tr>
      <w:tr>
        <w:tc>
          <w:tcPr>
            <w:tcW w:type="dxa" w:w="2880"/>
          </w:tcPr>
          <w:p>
            <w:pPr>
              <w:jc w:val="left"/>
            </w:pPr>
            <w:r/>
            <w:r>
              <w:rPr>
                <w:rFonts w:ascii="Cambria Math" w:hAnsi="Cambria Math"/>
                <w:sz w:val="18"/>
              </w:rPr>
              <w:t>p</w:t>
            </w:r>
            <w:r>
              <w:rPr>
                <w:rFonts w:ascii="Cambria Math" w:hAnsi="Cambria Math"/>
                <w:sz w:val="18"/>
                <w:vertAlign w:val="subscript"/>
              </w:rPr>
              <w:t>flip</w:t>
            </w:r>
            <w:r>
              <w:rPr>
                <w:rFonts w:ascii="Cambria Math" w:hAnsi="Cambria Math"/>
                <w:sz w:val="18"/>
                <w:vertAlign w:val="superscript"/>
              </w:rPr>
              <w:t>*</w:t>
            </w:r>
            <w:r>
              <w:rPr>
                <w:b w:val="0"/>
                <w:sz w:val="18"/>
              </w:rPr>
              <w:t>（知識品質閾値）</w:t>
            </w:r>
          </w:p>
        </w:tc>
        <w:tc>
          <w:tcPr>
            <w:tcW w:type="dxa" w:w="2880"/>
          </w:tcPr>
          <w:p>
            <w:pPr>
              <w:jc w:val="left"/>
            </w:pPr>
            <w:r/>
            <w:r>
              <w:rPr>
                <w:b/>
                <w:sz w:val="18"/>
              </w:rPr>
              <w:t>≈ 0.15</w:t>
            </w:r>
          </w:p>
        </w:tc>
        <w:tc>
          <w:tcPr>
            <w:tcW w:type="dxa" w:w="2880"/>
          </w:tcPr>
          <w:p>
            <w:pPr>
              <w:jc w:val="left"/>
            </w:pPr>
            <w:r/>
            <w:r>
              <w:rPr>
                <w:b w:val="0"/>
                <w:sz w:val="18"/>
              </w:rPr>
              <w:t>辺方向の85%以上が正しければDAG</w:t>
            </w:r>
          </w:p>
        </w:tc>
      </w:tr>
      <w:tr>
        <w:tc>
          <w:tcPr>
            <w:tcW w:type="dxa" w:w="2880"/>
          </w:tcPr>
          <w:p>
            <w:pPr>
              <w:jc w:val="left"/>
            </w:pPr>
            <w:r/>
            <w:r>
              <w:rPr>
                <w:rFonts w:ascii="Cambria Math" w:hAnsi="Cambria Math"/>
                <w:sz w:val="18"/>
              </w:rPr>
              <w:t>Δ r</w:t>
            </w:r>
            <w:r>
              <w:rPr>
                <w:rFonts w:ascii="Cambria Math" w:hAnsi="Cambria Math"/>
                <w:sz w:val="18"/>
                <w:vertAlign w:val="superscript"/>
              </w:rPr>
              <w:t>*</w:t>
            </w:r>
            <w:r>
              <w:rPr>
                <w:b w:val="0"/>
                <w:sz w:val="18"/>
              </w:rPr>
              <w:t>（骨格辺閾値）</w:t>
            </w:r>
          </w:p>
        </w:tc>
        <w:tc>
          <w:tcPr>
            <w:tcW w:type="dxa" w:w="2880"/>
          </w:tcPr>
          <w:p>
            <w:pPr>
              <w:jc w:val="left"/>
            </w:pPr>
            <w:r/>
            <w:r>
              <w:rPr>
                <w:b w:val="0"/>
                <w:sz w:val="18"/>
              </w:rPr>
              <w:t>Age関連辺</w:t>
            </w:r>
          </w:p>
        </w:tc>
        <w:tc>
          <w:tcPr>
            <w:tcW w:type="dxa" w:w="2880"/>
          </w:tcPr>
          <w:p>
            <w:pPr>
              <w:jc w:val="left"/>
            </w:pPr>
            <w:r/>
            <w:r>
              <w:rPr>
                <w:b w:val="0"/>
                <w:sz w:val="18"/>
              </w:rPr>
              <w:t>根ノードの方向性がDAG維持に必須</w:t>
            </w:r>
          </w:p>
        </w:tc>
      </w:tr>
    </w:tbl>
    <w:p/>
    <w:p>
      <w:pPr>
        <w:pStyle w:val="Heading1"/>
      </w:pPr>
      <w:r>
        <w:rPr>
          <w:b w:val="0"/>
        </w:rPr>
        <w:t>6. 循環構造のプルーニング — 臨床的に「正しい」DAG/DCGの境界</w:t>
      </w:r>
    </w:p>
    <w:p>
      <w:pPr>
        <w:pStyle w:val="Heading2"/>
      </w:pPr>
      <w:r>
        <w:rPr>
          <w:b w:val="0"/>
        </w:rPr>
        <w:t>6.1 臨床的には循環が正しい</w:t>
      </w:r>
    </w:p>
    <w:p>
      <w:r>
        <w:rPr>
          <w:b w:val="0"/>
        </w:rPr>
        <w:t>DAGは数学的に扱いやすいが、</w:t>
      </w:r>
      <w:r>
        <w:rPr>
          <w:b/>
        </w:rPr>
        <w:t>臨床的には循環モデルが正しい場合が多い</w:t>
      </w:r>
      <w:r>
        <w:rPr>
          <w:b w:val="0"/>
        </w:rPr>
        <w:t>：</w:t>
      </w:r>
    </w:p>
    <w:p>
      <w:pPr>
        <w:pStyle w:val="ListBullet"/>
      </w:pPr>
      <w:r>
        <w:rPr>
          <w:b/>
        </w:rPr>
        <w:t>運動耐容能 ↔ 虚血</w:t>
      </w:r>
      <w:r>
        <w:rPr>
          <w:b w:val="0"/>
        </w:rPr>
        <w:t>: 低MaxHR → 運動時虚血 → STDep上昇 → 心筋酸素需要↑ → さらにMaxHR低下</w:t>
      </w:r>
    </w:p>
    <w:p>
      <w:pPr>
        <w:pStyle w:val="ListBullet"/>
      </w:pPr>
      <w:r>
        <w:rPr>
          <w:b/>
        </w:rPr>
        <w:t>高血圧 ↔ 虚血</w:t>
      </w:r>
      <w:r>
        <w:rPr>
          <w:b w:val="0"/>
        </w:rPr>
        <w:t>: 高RestBP → 心筋肥大 → 虚血悪化 → 交感神経活性化 → RestBP上昇</w:t>
      </w:r>
    </w:p>
    <w:p>
      <w:pPr>
        <w:pStyle w:val="ListBullet"/>
      </w:pPr>
      <w:r>
        <w:rPr>
          <w:b/>
        </w:rPr>
        <w:t>加齢 ↔ 体力低下</w:t>
      </w:r>
      <w:r>
        <w:rPr>
          <w:b w:val="0"/>
        </w:rPr>
        <w:t>: Ageは不可逆だが、MaxHRの低下が「生物学的加齢」を加速する面もある</w:t>
      </w:r>
    </w:p>
    <w:p>
      <w:r>
        <w:rPr>
          <w:b w:val="0"/>
        </w:rPr>
        <w:t>Hodge分解はまさにこの循環をカール成分として定量化する。問題は</w:t>
      </w:r>
      <w:r>
        <w:rPr>
          <w:b/>
        </w:rPr>
        <w:t>どこまでカールを保持し、どこからプルーニングするか</w:t>
      </w:r>
      <w:r>
        <w:rPr>
          <w:b w:val="0"/>
        </w:rPr>
        <w:t>。</w:t>
      </w:r>
    </w:p>
    <w:p>
      <w:pPr>
        <w:pStyle w:val="Heading2"/>
      </w:pPr>
      <w:r>
        <w:rPr>
          <w:b w:val="0"/>
        </w:rPr>
        <w:t>6.2 辺ごとのフィードバック解析</w:t>
      </w:r>
    </w:p>
    <w:p>
      <w:r>
        <w:rPr>
          <w:b w:val="0"/>
        </w:rPr>
        <w:t>ECDモデル（α=0.3, C=LiNGAM）のHodge分解から、各辺のフィードバック割合（</w:t>
      </w:r>
      <w:r>
        <w:rPr>
          <w:rFonts w:ascii="Cambria Math" w:hAnsi="Cambria Math"/>
        </w:rPr>
        <w:t>curl</w:t>
      </w:r>
      <w:r>
        <w:rPr>
          <w:rFonts w:ascii="Cambria Math" w:hAnsi="Cambria Math"/>
          <w:vertAlign w:val="superscript"/>
        </w:rPr>
        <w:t>2</w:t>
      </w:r>
      <w:r>
        <w:rPr>
          <w:rFonts w:ascii="Cambria Math" w:hAnsi="Cambria Math"/>
        </w:rPr>
        <w:t xml:space="preserve"> / total</w:t>
      </w:r>
      <w:r>
        <w:rPr>
          <w:rFonts w:ascii="Cambria Math" w:hAnsi="Cambria Math"/>
          <w:vertAlign w:val="superscript"/>
        </w:rPr>
        <w:t>2</w:t>
      </w:r>
      <w:r>
        <w:rPr>
          <w:b w:val="0"/>
        </w:rPr>
        <w:t>）を算出：</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left"/>
            </w:pPr>
            <w:r/>
            <w:r>
              <w:rPr>
                <w:b/>
                <w:sz w:val="18"/>
              </w:rPr>
              <w:t>辺</w:t>
            </w:r>
          </w:p>
        </w:tc>
        <w:tc>
          <w:tcPr>
            <w:tcW w:type="dxa" w:w="1440"/>
          </w:tcPr>
          <w:p>
            <w:pPr>
              <w:jc w:val="left"/>
            </w:pPr>
            <w:r/>
            <w:r>
              <w:rPr>
                <w:b/>
                <w:sz w:val="18"/>
              </w:rPr>
              <w:t>勾配方向</w:t>
            </w:r>
          </w:p>
        </w:tc>
        <w:tc>
          <w:tcPr>
            <w:tcW w:type="dxa" w:w="1440"/>
          </w:tcPr>
          <w:p>
            <w:pPr>
              <w:jc w:val="left"/>
            </w:pPr>
            <w:r/>
            <w:r>
              <w:rPr>
                <w:b/>
                <w:sz w:val="18"/>
              </w:rPr>
              <w:t>全体フロー</w:t>
            </w:r>
          </w:p>
        </w:tc>
        <w:tc>
          <w:tcPr>
            <w:tcW w:type="dxa" w:w="1440"/>
          </w:tcPr>
          <w:p>
            <w:pPr>
              <w:jc w:val="left"/>
            </w:pPr>
            <w:r/>
            <w:r>
              <w:rPr>
                <w:b/>
                <w:sz w:val="18"/>
              </w:rPr>
              <w:t>勾配成分</w:t>
            </w:r>
          </w:p>
        </w:tc>
        <w:tc>
          <w:tcPr>
            <w:tcW w:type="dxa" w:w="1440"/>
          </w:tcPr>
          <w:p>
            <w:pPr>
              <w:jc w:val="left"/>
            </w:pPr>
            <w:r/>
            <w:r>
              <w:rPr>
                <w:b/>
                <w:sz w:val="18"/>
              </w:rPr>
              <w:t>カール成分</w:t>
            </w:r>
          </w:p>
        </w:tc>
        <w:tc>
          <w:tcPr>
            <w:tcW w:type="dxa" w:w="1440"/>
          </w:tcPr>
          <w:p>
            <w:pPr>
              <w:jc w:val="left"/>
            </w:pPr>
            <w:r/>
            <w:r>
              <w:rPr>
                <w:b/>
                <w:sz w:val="18"/>
              </w:rPr>
              <w:t>フィードバック率</w:t>
            </w:r>
          </w:p>
        </w:tc>
      </w:tr>
      <w:tr>
        <w:tc>
          <w:tcPr>
            <w:tcW w:type="dxa" w:w="1440"/>
          </w:tcPr>
          <w:p>
            <w:pPr>
              <w:jc w:val="left"/>
            </w:pPr>
            <w:r/>
            <w:r>
              <w:rPr>
                <w:b w:val="0"/>
                <w:sz w:val="18"/>
              </w:rPr>
              <w:t>Age → RestBP</w:t>
            </w:r>
          </w:p>
        </w:tc>
        <w:tc>
          <w:tcPr>
            <w:tcW w:type="dxa" w:w="1440"/>
          </w:tcPr>
          <w:p>
            <w:pPr>
              <w:jc w:val="left"/>
            </w:pPr>
            <w:r/>
            <w:r>
              <w:rPr>
                <w:b w:val="0"/>
                <w:sz w:val="18"/>
              </w:rPr>
              <w:t>Age→RestBP</w:t>
            </w:r>
          </w:p>
        </w:tc>
        <w:tc>
          <w:tcPr>
            <w:tcW w:type="dxa" w:w="1440"/>
          </w:tcPr>
          <w:p>
            <w:pPr>
              <w:jc w:val="left"/>
            </w:pPr>
            <w:r/>
            <w:r>
              <w:rPr>
                <w:b w:val="0"/>
                <w:sz w:val="18"/>
              </w:rPr>
              <w:t>+0.093</w:t>
            </w:r>
          </w:p>
        </w:tc>
        <w:tc>
          <w:tcPr>
            <w:tcW w:type="dxa" w:w="1440"/>
          </w:tcPr>
          <w:p>
            <w:pPr>
              <w:jc w:val="left"/>
            </w:pPr>
            <w:r/>
            <w:r>
              <w:rPr>
                <w:b w:val="0"/>
                <w:sz w:val="18"/>
              </w:rPr>
              <w:t>+0.092</w:t>
            </w:r>
          </w:p>
        </w:tc>
        <w:tc>
          <w:tcPr>
            <w:tcW w:type="dxa" w:w="1440"/>
          </w:tcPr>
          <w:p>
            <w:pPr>
              <w:jc w:val="left"/>
            </w:pPr>
            <w:r/>
            <w:r>
              <w:rPr>
                <w:b w:val="0"/>
                <w:sz w:val="18"/>
              </w:rPr>
              <w:t>+0.001</w:t>
            </w:r>
          </w:p>
        </w:tc>
        <w:tc>
          <w:tcPr>
            <w:tcW w:type="dxa" w:w="1440"/>
          </w:tcPr>
          <w:p>
            <w:pPr>
              <w:jc w:val="left"/>
            </w:pPr>
            <w:r/>
            <w:r>
              <w:rPr>
                <w:b/>
                <w:sz w:val="18"/>
              </w:rPr>
              <w:t>0%</w:t>
            </w:r>
          </w:p>
        </w:tc>
      </w:tr>
      <w:tr>
        <w:tc>
          <w:tcPr>
            <w:tcW w:type="dxa" w:w="1440"/>
          </w:tcPr>
          <w:p>
            <w:pPr>
              <w:jc w:val="left"/>
            </w:pPr>
            <w:r/>
            <w:r>
              <w:rPr>
                <w:b w:val="0"/>
                <w:sz w:val="18"/>
              </w:rPr>
              <w:t>RestBP → MaxHR</w:t>
            </w:r>
          </w:p>
        </w:tc>
        <w:tc>
          <w:tcPr>
            <w:tcW w:type="dxa" w:w="1440"/>
          </w:tcPr>
          <w:p>
            <w:pPr>
              <w:jc w:val="left"/>
            </w:pPr>
            <w:r/>
            <w:r>
              <w:rPr>
                <w:b w:val="0"/>
                <w:sz w:val="18"/>
              </w:rPr>
              <w:t>MaxHR→RestBP</w:t>
            </w:r>
          </w:p>
        </w:tc>
        <w:tc>
          <w:tcPr>
            <w:tcW w:type="dxa" w:w="1440"/>
          </w:tcPr>
          <w:p>
            <w:pPr>
              <w:jc w:val="left"/>
            </w:pPr>
            <w:r/>
            <w:r>
              <w:rPr>
                <w:b w:val="0"/>
                <w:sz w:val="18"/>
              </w:rPr>
              <w:t>−0.040</w:t>
            </w:r>
          </w:p>
        </w:tc>
        <w:tc>
          <w:tcPr>
            <w:tcW w:type="dxa" w:w="1440"/>
          </w:tcPr>
          <w:p>
            <w:pPr>
              <w:jc w:val="left"/>
            </w:pPr>
            <w:r/>
            <w:r>
              <w:rPr>
                <w:b w:val="0"/>
                <w:sz w:val="18"/>
              </w:rPr>
              <w:t>−0.042</w:t>
            </w:r>
          </w:p>
        </w:tc>
        <w:tc>
          <w:tcPr>
            <w:tcW w:type="dxa" w:w="1440"/>
          </w:tcPr>
          <w:p>
            <w:pPr>
              <w:jc w:val="left"/>
            </w:pPr>
            <w:r/>
            <w:r>
              <w:rPr>
                <w:b w:val="0"/>
                <w:sz w:val="18"/>
              </w:rPr>
              <w:t>+0.002</w:t>
            </w:r>
          </w:p>
        </w:tc>
        <w:tc>
          <w:tcPr>
            <w:tcW w:type="dxa" w:w="1440"/>
          </w:tcPr>
          <w:p>
            <w:pPr>
              <w:jc w:val="left"/>
            </w:pPr>
            <w:r/>
            <w:r>
              <w:rPr>
                <w:b/>
                <w:sz w:val="18"/>
              </w:rPr>
              <w:t>0%</w:t>
            </w:r>
          </w:p>
        </w:tc>
      </w:tr>
      <w:tr>
        <w:tc>
          <w:tcPr>
            <w:tcW w:type="dxa" w:w="1440"/>
          </w:tcPr>
          <w:p>
            <w:pPr>
              <w:jc w:val="left"/>
            </w:pPr>
            <w:r/>
            <w:r>
              <w:rPr>
                <w:b w:val="0"/>
                <w:sz w:val="18"/>
              </w:rPr>
              <w:t>Age → Chol</w:t>
            </w:r>
          </w:p>
        </w:tc>
        <w:tc>
          <w:tcPr>
            <w:tcW w:type="dxa" w:w="1440"/>
          </w:tcPr>
          <w:p>
            <w:pPr>
              <w:jc w:val="left"/>
            </w:pPr>
            <w:r/>
            <w:r>
              <w:rPr>
                <w:b w:val="0"/>
                <w:sz w:val="18"/>
              </w:rPr>
              <w:t>Age→Chol</w:t>
            </w:r>
          </w:p>
        </w:tc>
        <w:tc>
          <w:tcPr>
            <w:tcW w:type="dxa" w:w="1440"/>
          </w:tcPr>
          <w:p>
            <w:pPr>
              <w:jc w:val="left"/>
            </w:pPr>
            <w:r/>
            <w:r>
              <w:rPr>
                <w:b w:val="0"/>
                <w:sz w:val="18"/>
              </w:rPr>
              <w:t>+0.061</w:t>
            </w:r>
          </w:p>
        </w:tc>
        <w:tc>
          <w:tcPr>
            <w:tcW w:type="dxa" w:w="1440"/>
          </w:tcPr>
          <w:p>
            <w:pPr>
              <w:jc w:val="left"/>
            </w:pPr>
            <w:r/>
            <w:r>
              <w:rPr>
                <w:b w:val="0"/>
                <w:sz w:val="18"/>
              </w:rPr>
              <w:t>+0.067</w:t>
            </w:r>
          </w:p>
        </w:tc>
        <w:tc>
          <w:tcPr>
            <w:tcW w:type="dxa" w:w="1440"/>
          </w:tcPr>
          <w:p>
            <w:pPr>
              <w:jc w:val="left"/>
            </w:pPr>
            <w:r/>
            <w:r>
              <w:rPr>
                <w:b w:val="0"/>
                <w:sz w:val="18"/>
              </w:rPr>
              <w:t>−0.006</w:t>
            </w:r>
          </w:p>
        </w:tc>
        <w:tc>
          <w:tcPr>
            <w:tcW w:type="dxa" w:w="1440"/>
          </w:tcPr>
          <w:p>
            <w:pPr>
              <w:jc w:val="left"/>
            </w:pPr>
            <w:r/>
            <w:r>
              <w:rPr>
                <w:b/>
                <w:sz w:val="18"/>
              </w:rPr>
              <w:t>1%</w:t>
            </w:r>
          </w:p>
        </w:tc>
      </w:tr>
      <w:tr>
        <w:tc>
          <w:tcPr>
            <w:tcW w:type="dxa" w:w="1440"/>
          </w:tcPr>
          <w:p>
            <w:pPr>
              <w:jc w:val="left"/>
            </w:pPr>
            <w:r/>
            <w:r>
              <w:rPr>
                <w:b w:val="0"/>
                <w:sz w:val="18"/>
              </w:rPr>
              <w:t>RestBP ↔ STDep</w:t>
            </w:r>
          </w:p>
        </w:tc>
        <w:tc>
          <w:tcPr>
            <w:tcW w:type="dxa" w:w="1440"/>
          </w:tcPr>
          <w:p>
            <w:pPr>
              <w:jc w:val="left"/>
            </w:pPr>
            <w:r/>
            <w:r>
              <w:rPr>
                <w:b w:val="0"/>
                <w:sz w:val="18"/>
              </w:rPr>
              <w:t>STDep→RestBP</w:t>
            </w:r>
          </w:p>
        </w:tc>
        <w:tc>
          <w:tcPr>
            <w:tcW w:type="dxa" w:w="1440"/>
          </w:tcPr>
          <w:p>
            <w:pPr>
              <w:jc w:val="left"/>
            </w:pPr>
            <w:r/>
            <w:r>
              <w:rPr>
                <w:b w:val="0"/>
                <w:sz w:val="18"/>
              </w:rPr>
              <w:t>−0.053</w:t>
            </w:r>
          </w:p>
        </w:tc>
        <w:tc>
          <w:tcPr>
            <w:tcW w:type="dxa" w:w="1440"/>
          </w:tcPr>
          <w:p>
            <w:pPr>
              <w:jc w:val="left"/>
            </w:pPr>
            <w:r/>
            <w:r>
              <w:rPr>
                <w:b w:val="0"/>
                <w:sz w:val="18"/>
              </w:rPr>
              <w:t>−0.027</w:t>
            </w:r>
          </w:p>
        </w:tc>
        <w:tc>
          <w:tcPr>
            <w:tcW w:type="dxa" w:w="1440"/>
          </w:tcPr>
          <w:p>
            <w:pPr>
              <w:jc w:val="left"/>
            </w:pPr>
            <w:r/>
            <w:r>
              <w:rPr>
                <w:b w:val="0"/>
                <w:sz w:val="18"/>
              </w:rPr>
              <w:t>−0.026</w:t>
            </w:r>
          </w:p>
        </w:tc>
        <w:tc>
          <w:tcPr>
            <w:tcW w:type="dxa" w:w="1440"/>
          </w:tcPr>
          <w:p>
            <w:pPr>
              <w:jc w:val="left"/>
            </w:pPr>
            <w:r/>
            <w:r>
              <w:rPr>
                <w:b/>
                <w:sz w:val="18"/>
              </w:rPr>
              <w:t>24%</w:t>
            </w:r>
            <w:r>
              <w:rPr>
                <w:b w:val="0"/>
                <w:sz w:val="18"/>
              </w:rPr>
              <w:t xml:space="preserve"> ← 高血圧↔虚血</w:t>
            </w:r>
          </w:p>
        </w:tc>
      </w:tr>
      <w:tr>
        <w:tc>
          <w:tcPr>
            <w:tcW w:type="dxa" w:w="1440"/>
          </w:tcPr>
          <w:p>
            <w:pPr>
              <w:jc w:val="left"/>
            </w:pPr>
            <w:r/>
            <w:r>
              <w:rPr>
                <w:b w:val="0"/>
                <w:sz w:val="18"/>
              </w:rPr>
              <w:t>Age ↔ MaxHR</w:t>
            </w:r>
          </w:p>
        </w:tc>
        <w:tc>
          <w:tcPr>
            <w:tcW w:type="dxa" w:w="1440"/>
          </w:tcPr>
          <w:p>
            <w:pPr>
              <w:jc w:val="left"/>
            </w:pPr>
            <w:r/>
            <w:r>
              <w:rPr>
                <w:b w:val="0"/>
                <w:sz w:val="18"/>
              </w:rPr>
              <w:t>Age→MaxHR</w:t>
            </w:r>
          </w:p>
        </w:tc>
        <w:tc>
          <w:tcPr>
            <w:tcW w:type="dxa" w:w="1440"/>
          </w:tcPr>
          <w:p>
            <w:pPr>
              <w:jc w:val="left"/>
            </w:pPr>
            <w:r/>
            <w:r>
              <w:rPr>
                <w:b w:val="0"/>
                <w:sz w:val="18"/>
              </w:rPr>
              <w:t>+0.118</w:t>
            </w:r>
          </w:p>
        </w:tc>
        <w:tc>
          <w:tcPr>
            <w:tcW w:type="dxa" w:w="1440"/>
          </w:tcPr>
          <w:p>
            <w:pPr>
              <w:jc w:val="left"/>
            </w:pPr>
            <w:r/>
            <w:r>
              <w:rPr>
                <w:b w:val="0"/>
                <w:sz w:val="18"/>
              </w:rPr>
              <w:t>+0.049</w:t>
            </w:r>
          </w:p>
        </w:tc>
        <w:tc>
          <w:tcPr>
            <w:tcW w:type="dxa" w:w="1440"/>
          </w:tcPr>
          <w:p>
            <w:pPr>
              <w:jc w:val="left"/>
            </w:pPr>
            <w:r/>
            <w:r>
              <w:rPr>
                <w:b w:val="0"/>
                <w:sz w:val="18"/>
              </w:rPr>
              <w:t>+0.069</w:t>
            </w:r>
          </w:p>
        </w:tc>
        <w:tc>
          <w:tcPr>
            <w:tcW w:type="dxa" w:w="1440"/>
          </w:tcPr>
          <w:p>
            <w:pPr>
              <w:jc w:val="left"/>
            </w:pPr>
            <w:r/>
            <w:r>
              <w:rPr>
                <w:b/>
                <w:sz w:val="18"/>
              </w:rPr>
              <w:t>34%</w:t>
            </w:r>
            <w:r>
              <w:rPr>
                <w:b w:val="0"/>
                <w:sz w:val="18"/>
              </w:rPr>
              <w:t xml:space="preserve"> ← 加齢↔体力</w:t>
            </w:r>
          </w:p>
        </w:tc>
      </w:tr>
      <w:tr>
        <w:tc>
          <w:tcPr>
            <w:tcW w:type="dxa" w:w="1440"/>
          </w:tcPr>
          <w:p>
            <w:pPr>
              <w:jc w:val="left"/>
            </w:pPr>
            <w:r/>
            <w:r>
              <w:rPr>
                <w:b/>
                <w:sz w:val="18"/>
              </w:rPr>
              <w:t>MaxHR ↔ STDep</w:t>
            </w:r>
          </w:p>
        </w:tc>
        <w:tc>
          <w:tcPr>
            <w:tcW w:type="dxa" w:w="1440"/>
          </w:tcPr>
          <w:p>
            <w:pPr>
              <w:jc w:val="left"/>
            </w:pPr>
            <w:r/>
            <w:r>
              <w:rPr>
                <w:b w:val="0"/>
                <w:sz w:val="18"/>
              </w:rPr>
              <w:t>MaxHR→STDep</w:t>
            </w:r>
          </w:p>
        </w:tc>
        <w:tc>
          <w:tcPr>
            <w:tcW w:type="dxa" w:w="1440"/>
          </w:tcPr>
          <w:p>
            <w:pPr>
              <w:jc w:val="left"/>
            </w:pPr>
            <w:r/>
            <w:r>
              <w:rPr>
                <w:b w:val="0"/>
                <w:sz w:val="18"/>
              </w:rPr>
              <w:t>+0.104</w:t>
            </w:r>
          </w:p>
        </w:tc>
        <w:tc>
          <w:tcPr>
            <w:tcW w:type="dxa" w:w="1440"/>
          </w:tcPr>
          <w:p>
            <w:pPr>
              <w:jc w:val="left"/>
            </w:pPr>
            <w:r/>
            <w:r>
              <w:rPr>
                <w:b w:val="0"/>
                <w:sz w:val="18"/>
              </w:rPr>
              <w:t>+0.016</w:t>
            </w:r>
          </w:p>
        </w:tc>
        <w:tc>
          <w:tcPr>
            <w:tcW w:type="dxa" w:w="1440"/>
          </w:tcPr>
          <w:p>
            <w:pPr>
              <w:jc w:val="left"/>
            </w:pPr>
            <w:r/>
            <w:r>
              <w:rPr>
                <w:b w:val="0"/>
                <w:sz w:val="18"/>
              </w:rPr>
              <w:t>+0.089</w:t>
            </w:r>
          </w:p>
        </w:tc>
        <w:tc>
          <w:tcPr>
            <w:tcW w:type="dxa" w:w="1440"/>
          </w:tcPr>
          <w:p>
            <w:pPr>
              <w:jc w:val="left"/>
            </w:pPr>
            <w:r/>
            <w:r>
              <w:rPr>
                <w:b/>
                <w:sz w:val="18"/>
              </w:rPr>
              <w:t>73%</w:t>
            </w:r>
            <w:r>
              <w:rPr>
                <w:b w:val="0"/>
                <w:sz w:val="18"/>
              </w:rPr>
              <w:t xml:space="preserve"> ← </w:t>
            </w:r>
            <w:r>
              <w:rPr>
                <w:b/>
                <w:sz w:val="18"/>
              </w:rPr>
              <w:t>運動↔虚血ループ</w:t>
            </w:r>
          </w:p>
        </w:tc>
      </w:tr>
    </w:tbl>
    <w:p/>
    <w:p>
      <w:r>
        <w:rPr>
          <w:b/>
        </w:rPr>
        <w:t>MaxHR ↔ STDep のフィードバック率 73%</w:t>
      </w:r>
      <w:r>
        <w:rPr>
          <w:b w:val="0"/>
        </w:rPr>
        <w:t xml:space="preserve"> は、この辺が純粋なDAG因果（MaxHR → STDep）ではなく、</w:t>
      </w:r>
      <w:r>
        <w:rPr>
          <w:b/>
        </w:rPr>
        <w:t>双方向のフィードバックループ</w:t>
      </w:r>
      <w:r>
        <w:rPr>
          <w:b w:val="0"/>
        </w:rPr>
        <w:t>であることを強く示唆する。LiNGAMはDAG仮定によりこれを一方向に強制するが、Hodge分解はフィードバック成分を定量化できる。</w:t>
      </w:r>
    </w:p>
    <w:p>
      <w:pPr>
        <w:pStyle w:val="Heading2"/>
      </w:pPr>
      <w:r>
        <w:rPr>
          <w:b w:val="0"/>
        </w:rPr>
        <w:t>6.3 プルーニング閾値のチューニング</w:t>
      </w:r>
    </w:p>
    <w:p>
      <w:r>
        <w:rPr>
          <w:b w:val="0"/>
        </w:rPr>
        <w:t>SCD閾値を変化させて辺をプルーニングすると：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
              <w:rPr>
                <w:b/>
                <w:sz w:val="18"/>
              </w:rPr>
              <w:t>閾値</w:t>
            </w:r>
          </w:p>
        </w:tc>
        <w:tc>
          <w:tcPr>
            <w:tcW w:type="dxa" w:w="2160"/>
          </w:tcPr>
          <w:p>
            <w:pPr>
              <w:jc w:val="left"/>
            </w:pPr>
            <w:r/>
            <w:r>
              <w:rPr>
                <w:b/>
                <w:sz w:val="18"/>
              </w:rPr>
              <w:t>辺数</w:t>
            </w:r>
          </w:p>
        </w:tc>
        <w:tc>
          <w:tcPr>
            <w:tcW w:type="dxa" w:w="2160"/>
          </w:tcPr>
          <w:p>
            <w:pPr>
              <w:jc w:val="left"/>
            </w:pPr>
            <w:r/>
            <w:r>
              <w:rPr>
                <w:b/>
                <w:sz w:val="18"/>
              </w:rPr>
              <w:t>DAG?</w:t>
            </w:r>
          </w:p>
        </w:tc>
        <w:tc>
          <w:tcPr>
            <w:tcW w:type="dxa" w:w="2160"/>
          </w:tcPr>
          <w:p>
            <w:pPr>
              <w:jc w:val="left"/>
            </w:pPr>
            <w:r/>
            <w:r>
              <w:rPr>
                <w:b/>
                <w:sz w:val="18"/>
              </w:rPr>
              <w:t>臨床的解釈</w:t>
            </w:r>
          </w:p>
        </w:tc>
      </w:tr>
      <w:tr>
        <w:tc>
          <w:tcPr>
            <w:tcW w:type="dxa" w:w="2160"/>
          </w:tcPr>
          <w:p>
            <w:pPr>
              <w:jc w:val="left"/>
            </w:pPr>
            <w:r/>
            <w:r>
              <w:rPr>
                <w:b w:val="0"/>
                <w:sz w:val="18"/>
              </w:rPr>
              <w:t>0.00</w:t>
            </w:r>
          </w:p>
        </w:tc>
        <w:tc>
          <w:tcPr>
            <w:tcW w:type="dxa" w:w="2160"/>
          </w:tcPr>
          <w:p>
            <w:pPr>
              <w:jc w:val="left"/>
            </w:pPr>
            <w:r/>
            <w:r>
              <w:rPr>
                <w:b w:val="0"/>
                <w:sz w:val="18"/>
              </w:rPr>
              <w:t>10</w:t>
            </w:r>
          </w:p>
        </w:tc>
        <w:tc>
          <w:tcPr>
            <w:tcW w:type="dxa" w:w="2160"/>
          </w:tcPr>
          <w:p>
            <w:pPr>
              <w:jc w:val="left"/>
            </w:pPr>
            <w:r/>
            <w:r>
              <w:rPr>
                <w:b w:val="0"/>
                <w:sz w:val="18"/>
              </w:rPr>
              <w:t>DCG</w:t>
            </w:r>
          </w:p>
        </w:tc>
        <w:tc>
          <w:tcPr>
            <w:tcW w:type="dxa" w:w="2160"/>
          </w:tcPr>
          <w:p>
            <w:pPr>
              <w:jc w:val="left"/>
            </w:pPr>
            <w:r/>
            <w:r>
              <w:rPr>
                <w:b w:val="0"/>
                <w:sz w:val="18"/>
              </w:rPr>
              <w:t>全辺保持（フィードバック込み）</w:t>
            </w:r>
          </w:p>
        </w:tc>
      </w:tr>
      <w:tr>
        <w:tc>
          <w:tcPr>
            <w:tcW w:type="dxa" w:w="2160"/>
          </w:tcPr>
          <w:p>
            <w:pPr>
              <w:jc w:val="left"/>
            </w:pPr>
            <w:r/>
            <w:r>
              <w:rPr>
                <w:b w:val="0"/>
                <w:sz w:val="18"/>
              </w:rPr>
              <w:t>0.02</w:t>
            </w:r>
          </w:p>
        </w:tc>
        <w:tc>
          <w:tcPr>
            <w:tcW w:type="dxa" w:w="2160"/>
          </w:tcPr>
          <w:p>
            <w:pPr>
              <w:jc w:val="left"/>
            </w:pPr>
            <w:r/>
            <w:r>
              <w:rPr>
                <w:b w:val="0"/>
                <w:sz w:val="18"/>
              </w:rPr>
              <w:t>6</w:t>
            </w:r>
          </w:p>
        </w:tc>
        <w:tc>
          <w:tcPr>
            <w:tcW w:type="dxa" w:w="2160"/>
          </w:tcPr>
          <w:p>
            <w:pPr>
              <w:jc w:val="left"/>
            </w:pPr>
            <w:r/>
            <w:r>
              <w:rPr>
                <w:b/>
                <w:sz w:val="18"/>
              </w:rPr>
              <w:t>DAG</w:t>
            </w:r>
          </w:p>
        </w:tc>
        <w:tc>
          <w:tcPr>
            <w:tcW w:type="dxa" w:w="2160"/>
          </w:tcPr>
          <w:p>
            <w:pPr>
              <w:jc w:val="left"/>
            </w:pPr>
            <w:r/>
            <w:r>
              <w:rPr>
                <w:b w:val="0"/>
                <w:sz w:val="18"/>
              </w:rPr>
              <w:t>弱辺除去でDAG化</w:t>
            </w:r>
          </w:p>
        </w:tc>
      </w:tr>
      <w:tr>
        <w:tc>
          <w:tcPr>
            <w:tcW w:type="dxa" w:w="2160"/>
          </w:tcPr>
          <w:p>
            <w:pPr>
              <w:jc w:val="left"/>
            </w:pPr>
            <w:r/>
            <w:r>
              <w:rPr>
                <w:b w:val="0"/>
                <w:sz w:val="18"/>
              </w:rPr>
              <w:t>0.10</w:t>
            </w:r>
          </w:p>
        </w:tc>
        <w:tc>
          <w:tcPr>
            <w:tcW w:type="dxa" w:w="2160"/>
          </w:tcPr>
          <w:p>
            <w:pPr>
              <w:jc w:val="left"/>
            </w:pPr>
            <w:r/>
            <w:r>
              <w:rPr>
                <w:b w:val="0"/>
                <w:sz w:val="18"/>
              </w:rPr>
              <w:t>5</w:t>
            </w:r>
          </w:p>
        </w:tc>
        <w:tc>
          <w:tcPr>
            <w:tcW w:type="dxa" w:w="2160"/>
          </w:tcPr>
          <w:p>
            <w:pPr>
              <w:jc w:val="left"/>
            </w:pPr>
            <w:r/>
            <w:r>
              <w:rPr>
                <w:b w:val="0"/>
                <w:sz w:val="18"/>
              </w:rPr>
              <w:t>DAG</w:t>
            </w:r>
          </w:p>
        </w:tc>
        <w:tc>
          <w:tcPr>
            <w:tcW w:type="dxa" w:w="2160"/>
          </w:tcPr>
          <w:p>
            <w:pPr>
              <w:jc w:val="left"/>
            </w:pPr>
            <w:r/>
            <w:r>
              <w:rPr>
                <w:b w:val="0"/>
                <w:sz w:val="18"/>
              </w:rPr>
              <w:t>さらに簡素化</w:t>
            </w:r>
          </w:p>
        </w:tc>
      </w:tr>
      <w:tr>
        <w:tc>
          <w:tcPr>
            <w:tcW w:type="dxa" w:w="2160"/>
          </w:tcPr>
          <w:p>
            <w:pPr>
              <w:jc w:val="left"/>
            </w:pPr>
            <w:r/>
            <w:r>
              <w:rPr>
                <w:b w:val="0"/>
                <w:sz w:val="18"/>
              </w:rPr>
              <w:t>0.30</w:t>
            </w:r>
          </w:p>
        </w:tc>
        <w:tc>
          <w:tcPr>
            <w:tcW w:type="dxa" w:w="2160"/>
          </w:tcPr>
          <w:p>
            <w:pPr>
              <w:jc w:val="left"/>
            </w:pPr>
            <w:r/>
            <w:r>
              <w:rPr>
                <w:b w:val="0"/>
                <w:sz w:val="18"/>
              </w:rPr>
              <w:t>4</w:t>
            </w:r>
          </w:p>
        </w:tc>
        <w:tc>
          <w:tcPr>
            <w:tcW w:type="dxa" w:w="2160"/>
          </w:tcPr>
          <w:p>
            <w:pPr>
              <w:jc w:val="left"/>
            </w:pPr>
            <w:r/>
            <w:r>
              <w:rPr>
                <w:b w:val="0"/>
                <w:sz w:val="18"/>
              </w:rPr>
              <w:t>DAG</w:t>
            </w:r>
          </w:p>
        </w:tc>
        <w:tc>
          <w:tcPr>
            <w:tcW w:type="dxa" w:w="2160"/>
          </w:tcPr>
          <w:p>
            <w:pPr>
              <w:jc w:val="left"/>
            </w:pPr>
            <w:r/>
            <w:r>
              <w:rPr>
                <w:b w:val="0"/>
                <w:sz w:val="18"/>
              </w:rPr>
              <w:t>最強辺のみ</w:t>
            </w:r>
          </w:p>
        </w:tc>
      </w:tr>
    </w:tbl>
    <w:p/>
    <w:p>
      <w:r>
        <w:rPr>
          <w:b/>
        </w:rPr>
        <w:t>閾値チューニングの指針</w:t>
      </w:r>
      <w:r>
        <w:rPr>
          <w:b w:val="0"/>
        </w:rPr>
        <w:t>:</w:t>
      </w:r>
    </w:p>
    <w:p>
      <w:pPr>
        <w:pStyle w:val="ListNumber"/>
      </w:pPr>
      <w:r>
        <w:rPr>
          <w:b/>
        </w:rPr>
        <w:t>DCG（循環許容）として分析する場合</w:t>
      </w:r>
      <w:r>
        <w:rPr>
          <w:b w:val="0"/>
        </w:rPr>
        <w:t>: 閾値を低く設定し、フィードバック率 &gt; 20% の辺を「循環辺」としてマーキング。DAGとDCGの</w:t>
      </w:r>
      <w:r>
        <w:rPr>
          <w:b/>
        </w:rPr>
        <w:t>ハイブリッド表現</w:t>
      </w:r>
      <w:r>
        <w:rPr>
          <w:b w:val="0"/>
        </w:rPr>
        <w:t>。</w:t>
      </w:r>
    </w:p>
    <w:p>
      <w:pPr>
        <w:pStyle w:val="ListNumber"/>
      </w:pPr>
      <w:r>
        <w:rPr>
          <w:b/>
        </w:rPr>
        <w:t>DAGとして分析する場合</w:t>
      </w:r>
      <w:r>
        <w:rPr>
          <w:b w:val="0"/>
        </w:rPr>
        <w:t>: 閾値 &gt; 0.02 で自然にDAG化。ただし、MaxHR ↔ STDep のフィードバック（73%）を失うトレードオフ。</w:t>
      </w:r>
    </w:p>
    <w:p>
      <w:pPr>
        <w:pStyle w:val="ListNumber"/>
      </w:pPr>
      <w:r>
        <w:rPr>
          <w:b/>
        </w:rPr>
        <w:t>臨床的最適解</w:t>
      </w:r>
      <w:r>
        <w:rPr>
          <w:b w:val="0"/>
        </w:rPr>
        <w:t>: フィードバック率でフィルタリング。</w:t>
      </w:r>
    </w:p>
    <w:p>
      <w:pPr>
        <w:pStyle w:val="ListBullet"/>
      </w:pPr>
      <w:r>
        <w:rPr>
          <w:b w:val="0"/>
        </w:rPr>
        <w:t>フィードバック率 &lt; 20%: DAG辺として扱う（一方向因果が支配的）</w:t>
      </w:r>
    </w:p>
    <w:p>
      <w:pPr>
        <w:pStyle w:val="ListBullet"/>
      </w:pPr>
      <w:r>
        <w:rPr>
          <w:b w:val="0"/>
        </w:rPr>
        <w:t>フィードバック率 20–50%: 「弱い循環」として注記</w:t>
      </w:r>
    </w:p>
    <w:p>
      <w:pPr>
        <w:pStyle w:val="ListBullet"/>
      </w:pPr>
      <w:r>
        <w:rPr>
          <w:b w:val="0"/>
        </w:rPr>
        <w:t>フィードバック率 &gt; 50%: 「強い循環」として双方向辺で表現</w:t>
      </w:r>
    </w:p>
    <w:p>
      <w:pPr>
        <w:pStyle w:val="Heading2"/>
      </w:pPr>
      <w:r>
        <w:rPr>
          <w:b w:val="0"/>
        </w:rPr>
        <w:t>6.4 スペクトル因果性の独自の価値</w:t>
      </w:r>
    </w:p>
    <w:p>
      <w:r>
        <w:rPr>
          <w:b w:val="0"/>
        </w:rPr>
        <w:t>この解析が示す最も重要な点は、</w:t>
      </w:r>
      <w:r>
        <w:rPr>
          <w:b/>
        </w:rPr>
        <w:t>LiNGAM単独ではできない</w:t>
      </w:r>
      <w:r>
        <w:rPr>
          <w:b w:val="0"/>
        </w:rPr>
        <w:t>ことがスペクトル因果性で可能になることである：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能力</w:t>
            </w:r>
          </w:p>
        </w:tc>
        <w:tc>
          <w:tcPr>
            <w:tcW w:type="dxa" w:w="2880"/>
          </w:tcPr>
          <w:p>
            <w:pPr>
              <w:jc w:val="left"/>
            </w:pPr>
            <w:r/>
            <w:r>
              <w:rPr>
                <w:b/>
                <w:sz w:val="18"/>
              </w:rPr>
              <w:t>LiNGAM</w:t>
            </w:r>
          </w:p>
        </w:tc>
        <w:tc>
          <w:tcPr>
            <w:tcW w:type="dxa" w:w="2880"/>
          </w:tcPr>
          <w:p>
            <w:pPr>
              <w:jc w:val="left"/>
            </w:pPr>
            <w:r/>
            <w:r>
              <w:rPr>
                <w:b/>
                <w:sz w:val="18"/>
              </w:rPr>
              <w:t>スペクトル因果性（ECD）</w:t>
            </w:r>
          </w:p>
        </w:tc>
      </w:tr>
      <w:tr>
        <w:tc>
          <w:tcPr>
            <w:tcW w:type="dxa" w:w="2880"/>
          </w:tcPr>
          <w:p>
            <w:pPr>
              <w:jc w:val="left"/>
            </w:pPr>
            <w:r/>
            <w:r>
              <w:rPr>
                <w:b w:val="0"/>
                <w:sz w:val="18"/>
              </w:rPr>
              <w:t>DAG推定</w:t>
            </w:r>
          </w:p>
        </w:tc>
        <w:tc>
          <w:tcPr>
            <w:tcW w:type="dxa" w:w="2880"/>
          </w:tcPr>
          <w:p>
            <w:pPr>
              <w:jc w:val="left"/>
            </w:pPr>
            <w:r/>
            <w:r>
              <w:rPr>
                <w:b w:val="0"/>
                <w:sz w:val="18"/>
              </w:rPr>
              <w:t>◎（主目的）</w:t>
            </w:r>
          </w:p>
        </w:tc>
        <w:tc>
          <w:tcPr>
            <w:tcW w:type="dxa" w:w="2880"/>
          </w:tcPr>
          <w:p>
            <w:pPr>
              <w:jc w:val="left"/>
            </w:pPr>
            <w:r/>
            <w:r>
              <w:rPr>
                <w:b w:val="0"/>
                <w:sz w:val="18"/>
              </w:rPr>
              <w:t>△（Hodge勾配で近似）</w:t>
            </w:r>
          </w:p>
        </w:tc>
      </w:tr>
      <w:tr>
        <w:tc>
          <w:tcPr>
            <w:tcW w:type="dxa" w:w="2880"/>
          </w:tcPr>
          <w:p>
            <w:pPr>
              <w:jc w:val="left"/>
            </w:pPr>
            <w:r/>
            <w:r>
              <w:rPr>
                <w:b w:val="0"/>
                <w:sz w:val="18"/>
              </w:rPr>
              <w:t>フィードバック定量</w:t>
            </w:r>
          </w:p>
        </w:tc>
        <w:tc>
          <w:tcPr>
            <w:tcW w:type="dxa" w:w="2880"/>
          </w:tcPr>
          <w:p>
            <w:pPr>
              <w:jc w:val="left"/>
            </w:pPr>
            <w:r/>
            <w:r>
              <w:rPr>
                <w:b w:val="0"/>
                <w:sz w:val="18"/>
              </w:rPr>
              <w:t>✗（DAG仮定で不可）</w:t>
            </w:r>
          </w:p>
        </w:tc>
        <w:tc>
          <w:tcPr>
            <w:tcW w:type="dxa" w:w="2880"/>
          </w:tcPr>
          <w:p>
            <w:pPr>
              <w:jc w:val="left"/>
            </w:pPr>
            <w:r/>
            <w:r>
              <w:rPr>
                <w:b/>
                <w:sz w:val="18"/>
              </w:rPr>
              <w:t>◎</w:t>
            </w:r>
            <w:r>
              <w:rPr>
                <w:b w:val="0"/>
                <w:sz w:val="18"/>
              </w:rPr>
              <w:t>（カール成分）</w:t>
            </w:r>
          </w:p>
        </w:tc>
      </w:tr>
      <w:tr>
        <w:tc>
          <w:tcPr>
            <w:tcW w:type="dxa" w:w="2880"/>
          </w:tcPr>
          <w:p>
            <w:pPr>
              <w:jc w:val="left"/>
            </w:pPr>
            <w:r/>
            <w:r>
              <w:rPr>
                <w:b w:val="0"/>
                <w:sz w:val="18"/>
              </w:rPr>
              <w:t>辺ごとの循環性評価</w:t>
            </w:r>
          </w:p>
        </w:tc>
        <w:tc>
          <w:tcPr>
            <w:tcW w:type="dxa" w:w="2880"/>
          </w:tcPr>
          <w:p>
            <w:pPr>
              <w:jc w:val="left"/>
            </w:pPr>
            <w:r/>
            <w:r>
              <w:rPr>
                <w:b w:val="0"/>
                <w:sz w:val="18"/>
              </w:rPr>
              <w:t>✗</w:t>
            </w:r>
          </w:p>
        </w:tc>
        <w:tc>
          <w:tcPr>
            <w:tcW w:type="dxa" w:w="2880"/>
          </w:tcPr>
          <w:p>
            <w:pPr>
              <w:jc w:val="left"/>
            </w:pPr>
            <w:r/>
            <w:r>
              <w:rPr>
                <w:b/>
                <w:sz w:val="18"/>
              </w:rPr>
              <w:t>◎</w:t>
            </w:r>
            <w:r>
              <w:rPr>
                <w:b w:val="0"/>
                <w:sz w:val="18"/>
              </w:rPr>
              <w:t>（フィードバック率）</w:t>
            </w:r>
          </w:p>
        </w:tc>
      </w:tr>
      <w:tr>
        <w:tc>
          <w:tcPr>
            <w:tcW w:type="dxa" w:w="2880"/>
          </w:tcPr>
          <w:p>
            <w:pPr>
              <w:jc w:val="left"/>
            </w:pPr>
            <w:r/>
            <w:r>
              <w:rPr>
                <w:b w:val="0"/>
                <w:sz w:val="18"/>
              </w:rPr>
              <w:t>介入可能性の示唆</w:t>
            </w:r>
          </w:p>
        </w:tc>
        <w:tc>
          <w:tcPr>
            <w:tcW w:type="dxa" w:w="2880"/>
          </w:tcPr>
          <w:p>
            <w:pPr>
              <w:jc w:val="left"/>
            </w:pPr>
            <w:r/>
            <w:r>
              <w:rPr>
                <w:b w:val="0"/>
                <w:sz w:val="18"/>
              </w:rPr>
              <w:t>○（因果順序から間接的に）</w:t>
            </w:r>
          </w:p>
        </w:tc>
        <w:tc>
          <w:tcPr>
            <w:tcW w:type="dxa" w:w="2880"/>
          </w:tcPr>
          <w:p>
            <w:pPr>
              <w:jc w:val="left"/>
            </w:pPr>
            <w:r/>
            <w:r>
              <w:rPr>
                <w:b/>
                <w:sz w:val="18"/>
              </w:rPr>
              <w:t>◎</w:t>
            </w:r>
            <w:r>
              <w:rPr>
                <w:b w:val="0"/>
                <w:sz w:val="18"/>
              </w:rPr>
              <w:t>（φと直接対応）</w:t>
            </w:r>
          </w:p>
        </w:tc>
      </w:tr>
    </w:tbl>
    <w:p/>
    <w:p>
      <w:pPr>
        <w:spacing w:before="120" w:after="240"/>
        <w:jc w:val="center"/>
      </w:pPr>
      <w:r>
        <w:rPr>
          <w:b w:val="0"/>
          <w:i/>
          <w:sz w:val="18"/>
        </w:rPr>
        <w:t>LiNGAM + スペクトル因果性のECDは、DAG因果推定の「その先」— フィードバックの定量化と臨床的循環の同定 — を可能にする。</w:t>
      </w:r>
    </w:p>
    <w:p>
      <w:pPr>
        <w:pStyle w:val="Heading1"/>
      </w:pPr>
      <w:r>
        <w:rPr>
          <w:b w:val="0"/>
        </w:rPr>
        <w:t>7. 実運用フロー — LiNGAMプルーニング → 低α → Hodge</w:t>
      </w:r>
    </w:p>
    <w:p>
      <w:pPr>
        <w:pStyle w:val="Heading2"/>
      </w:pPr>
      <w:r>
        <w:rPr>
          <w:b w:val="0"/>
        </w:rPr>
        <w:t>7.1 推奨パイプライン</w:t>
      </w:r>
    </w:p>
    <w:p>
      <w:r>
        <w:rPr>
          <w:b w:val="0"/>
        </w:rPr>
        <w:t>上記の全解析結果を総合すると、実運用では以下のフローが最も合理的である：</w:t>
      </w:r>
    </w:p>
    <w:p>
      <w:pPr>
        <w:ind w:left="567"/>
      </w:pPr>
      <w:r>
        <w:rPr>
          <w:rFonts w:ascii="Courier New" w:hAnsi="Courier New"/>
          <w:sz w:val="18"/>
        </w:rPr>
        <w:t>Step 1: LiNGAMでDAG推定（ドメイン知識不要）</w:t>
        <w:br/>
        <w:t xml:space="preserve">         ↓</w:t>
        <w:br/>
        <w:t>Step 2: ブートストラップ安定性でプルーニング</w:t>
        <w:br/>
        <w:t xml:space="preserve">        （安定性 &gt; 80% の辺のみ残す = 高確信辺）</w:t>
        <w:br/>
        <w:t xml:space="preserve">         ↓</w:t>
        <w:br/>
        <w:t>Step 3: 残った辺を C_LiNGAM として α=0.01〜0.1 で設定</w:t>
        <w:br/>
        <w:t xml:space="preserve">        （方向はドメイン知識、強さはデータ相関）</w:t>
        <w:br/>
        <w:t xml:space="preserve">         ↓</w:t>
        <w:br/>
        <w:t>Step 4: スペクトル因果性（Hodge分解）で：</w:t>
        <w:br/>
        <w:t xml:space="preserve">        ├── DAG的フロー（勾配成分）を確認</w:t>
        <w:br/>
        <w:t xml:space="preserve">        ├── フィードバックループ（カール成分）を定量化</w:t>
        <w:br/>
        <w:t xml:space="preserve">        └── 辺ごとのフィードバック率で循環辺を同定</w:t>
      </w:r>
    </w:p>
    <w:p>
      <w:pPr>
        <w:pStyle w:val="Heading2"/>
      </w:pPr>
      <w:r>
        <w:rPr>
          <w:b w:val="0"/>
        </w:rPr>
        <w:t>7.2 なぜ低αで十分か</w:t>
      </w:r>
    </w:p>
    <w:p>
      <w:r>
        <w:rPr>
          <w:b w:val="0"/>
        </w:rPr>
        <w:t>§5.1で証明されたように、</w:t>
      </w:r>
      <w:r>
        <w:rPr>
          <w:b/>
        </w:rPr>
        <w:t>αの値は0より大きければ結果は同一</w:t>
      </w:r>
      <w:r>
        <w:rPr>
          <w:b w:val="0"/>
        </w:rPr>
        <w:t>（</w:t>
      </w:r>
      <w:r>
        <w:rPr>
          <w:rFonts w:ascii="Cambria Math" w:hAnsi="Cambria Math"/>
        </w:rPr>
        <w:t>r</w:t>
      </w:r>
      <w:r>
        <w:rPr>
          <w:rFonts w:ascii="Cambria Math" w:hAnsi="Cambria Math"/>
          <w:vertAlign w:val="subscript"/>
        </w:rPr>
        <w:t>gradient</w:t>
      </w:r>
      <w:r>
        <w:rPr>
          <w:b w:val="0"/>
        </w:rPr>
        <w:t xml:space="preserve"> は </w:t>
      </w:r>
      <w:r>
        <w:rPr>
          <w:rFonts w:ascii="Cambria Math" w:hAnsi="Cambria Math"/>
        </w:rPr>
        <w:t>α = 10</w:t>
      </w:r>
      <w:r>
        <w:rPr>
          <w:rFonts w:ascii="Cambria Math" w:hAnsi="Cambria Math"/>
          <w:vertAlign w:val="superscript"/>
        </w:rPr>
        <w:t>-6</w:t>
      </w:r>
      <w:r>
        <w:rPr>
          <w:b w:val="0"/>
        </w:rPr>
        <w:t xml:space="preserve"> でも </w:t>
      </w:r>
      <w:r>
        <w:rPr>
          <w:rFonts w:ascii="Cambria Math" w:hAnsi="Cambria Math"/>
        </w:rPr>
        <w:t>α = 1</w:t>
      </w:r>
      <w:r>
        <w:rPr>
          <w:b w:val="0"/>
        </w:rPr>
        <w:t xml:space="preserve"> でも変わらない）。重要なのは：</w:t>
      </w:r>
    </w:p>
    <w:p>
      <w:pPr>
        <w:pStyle w:val="ListNumber"/>
      </w:pPr>
      <w:r>
        <w:rPr>
          <w:b/>
        </w:rPr>
        <w:t>Cの構造</w:t>
      </w:r>
      <w:r>
        <w:rPr>
          <w:b w:val="0"/>
        </w:rPr>
        <w:t>（どの辺に方向性があるか）</w:t>
      </w:r>
    </w:p>
    <w:p>
      <w:pPr>
        <w:pStyle w:val="ListNumber"/>
      </w:pPr>
      <w:r>
        <w:rPr>
          <w:b/>
        </w:rPr>
        <w:t>Cの正確さ</w:t>
      </w:r>
      <w:r>
        <w:rPr>
          <w:b w:val="0"/>
        </w:rPr>
        <w:t>（</w:t>
      </w:r>
      <w:r>
        <w:rPr>
          <w:rFonts w:ascii="Cambria Math" w:hAnsi="Cambria Math"/>
        </w:rPr>
        <w:t>p</w:t>
      </w:r>
      <w:r>
        <w:rPr>
          <w:rFonts w:ascii="Cambria Math" w:hAnsi="Cambria Math"/>
          <w:vertAlign w:val="subscript"/>
        </w:rPr>
        <w:t>flip</w:t>
      </w:r>
      <w:r>
        <w:rPr>
          <w:rFonts w:ascii="Cambria Math" w:hAnsi="Cambria Math"/>
        </w:rPr>
        <w:t xml:space="preserve"> &lt; 0.15</w:t>
      </w:r>
      <w:r>
        <w:rPr>
          <w:b w:val="0"/>
        </w:rPr>
        <w:t xml:space="preserve"> = 85%以上正しい）</w:t>
      </w:r>
    </w:p>
    <w:p>
      <w:pPr>
        <w:pStyle w:val="ListNumber"/>
      </w:pPr>
      <w:r>
        <w:rPr>
          <w:b/>
        </w:rPr>
        <w:t>αの値そのものは無意味</w:t>
      </w:r>
    </w:p>
    <w:p>
      <w:r>
        <w:rPr>
          <w:b w:val="0"/>
        </w:rPr>
        <w:t>低αにする実質的メリットは</w:t>
      </w:r>
      <w:r>
        <w:rPr>
          <w:b/>
        </w:rPr>
        <w:t>データ駆動の相関重みが辺の太さに反映される</w:t>
      </w:r>
      <w:r>
        <w:rPr>
          <w:b w:val="0"/>
        </w:rPr>
        <w:t>こと。α=0.01なら相関が99%を占めるため、「方向はドメイン知識、強さはデータ」という自然な分担になる。</w:t>
      </w:r>
    </w:p>
    <w:p>
      <w:pPr>
        <w:pStyle w:val="Heading2"/>
      </w:pPr>
      <w:r>
        <w:rPr>
          <w:b w:val="0"/>
        </w:rPr>
        <w:t>7.3 LiNGAMプルーニング戦略</w:t>
      </w:r>
    </w:p>
    <w:p>
      <w:r>
        <w:rPr>
          <w:b w:val="0"/>
        </w:rPr>
        <w:t>ドメイン知識が全くない場合、LiNGAMの出力をプルーニングして高確信辺のみ使う：</w:t>
      </w:r>
    </w:p>
    <w:p>
      <w:pPr>
        <w:ind w:left="567"/>
      </w:pPr>
      <w:r>
        <w:rPr>
          <w:rFonts w:ascii="Courier New" w:hAnsi="Courier New"/>
          <w:sz w:val="18"/>
        </w:rPr>
        <w:t># ブートストラップ安定性でプルーニング</w:t>
        <w:br/>
        <w:t>n_bootstrap = 100</w:t>
        <w:br/>
        <w:t>edge_count = np.zeros((n, n))</w:t>
        <w:br/>
        <w:t>for _ in range(n_bootstrap):</w:t>
        <w:br/>
        <w:t xml:space="preserve">    idx = np.random.choice(n_samples, n_samples, replace=True)</w:t>
        <w:br/>
        <w:t xml:space="preserve">    model = DirectLiNGAM()</w:t>
        <w:br/>
        <w:t xml:space="preserve">    model.fit(X[idx])</w:t>
        <w:br/>
        <w:t xml:space="preserve">    B = model.adjacency_matrix_</w:t>
        <w:br/>
        <w:t xml:space="preserve">    edge_count += (np.abs(B) &gt; threshold)</w:t>
        <w:br/>
        <w:br/>
        <w:t>stability = edge_count / n_bootstrap</w:t>
        <w:br/>
        <w:t># 安定性 &gt; 80% の辺のみ C_LiNGAM に採用</w:t>
        <w:br/>
        <w:t>C_lingam = np.where(stability &gt; 0.8, np.abs(B_full), 0)</w:t>
      </w:r>
    </w:p>
    <w:p>
      <w:r>
        <w:rPr>
          <w:b/>
        </w:rPr>
        <w:t>利点</w:t>
      </w:r>
      <w:r>
        <w:rPr>
          <w:b w:val="0"/>
        </w:rPr>
        <w:t>:</w:t>
      </w:r>
    </w:p>
    <w:p>
      <w:pPr>
        <w:pStyle w:val="ListBullet"/>
      </w:pPr>
      <w:r>
        <w:rPr>
          <w:b w:val="0"/>
        </w:rPr>
        <w:t>ドメイン知識が</w:t>
      </w:r>
      <w:r>
        <w:rPr>
          <w:b/>
        </w:rPr>
        <w:t>全くない分野</w:t>
      </w:r>
      <w:r>
        <w:rPr>
          <w:b w:val="0"/>
        </w:rPr>
        <w:t>でも自動化可能（LiNGAMが知識を代替）</w:t>
      </w:r>
    </w:p>
    <w:p>
      <w:pPr>
        <w:pStyle w:val="ListBullet"/>
      </w:pPr>
      <w:r>
        <w:rPr>
          <w:b w:val="0"/>
        </w:rPr>
        <w:t>ブートストラップで</w:t>
      </w:r>
      <w:r>
        <w:rPr>
          <w:rFonts w:ascii="Cambria Math" w:hAnsi="Cambria Math"/>
        </w:rPr>
        <w:t>p</w:t>
      </w:r>
      <w:r>
        <w:rPr>
          <w:rFonts w:ascii="Cambria Math" w:hAnsi="Cambria Math"/>
          <w:vertAlign w:val="subscript"/>
        </w:rPr>
        <w:t>flip</w:t>
      </w:r>
      <w:r>
        <w:rPr>
          <w:b w:val="0"/>
        </w:rPr>
        <w:t>を間接的に制御（不安定な辺 ≈ 方向が不確実 ≈ 高</w:t>
      </w:r>
      <w:r>
        <w:rPr>
          <w:rFonts w:ascii="Cambria Math" w:hAnsi="Cambria Math"/>
        </w:rPr>
        <w:t>p</w:t>
      </w:r>
      <w:r>
        <w:rPr>
          <w:rFonts w:ascii="Cambria Math" w:hAnsi="Cambria Math"/>
          <w:vertAlign w:val="subscript"/>
        </w:rPr>
        <w:t>flip</w:t>
      </w:r>
      <w:r>
        <w:rPr>
          <w:b w:val="0"/>
        </w:rPr>
        <w:t>リスク）</w:t>
      </w:r>
    </w:p>
    <w:p>
      <w:pPr>
        <w:pStyle w:val="ListBullet"/>
      </w:pPr>
      <w:r>
        <w:rPr>
          <w:b/>
        </w:rPr>
        <w:t>少数の高確信辺</w:t>
      </w:r>
      <w:r>
        <w:rPr>
          <w:b w:val="0"/>
        </w:rPr>
        <w:t>が根ノード同定に十分（§5.3: Age関連辺だけでDAG度0.59）</w:t>
      </w:r>
    </w:p>
    <w:p>
      <w:pPr>
        <w:pStyle w:val="Heading2"/>
      </w:pPr>
      <w:r>
        <w:rPr>
          <w:b w:val="0"/>
        </w:rPr>
        <w:t>7.4 ドメイン知識がある場合</w:t>
      </w:r>
    </w:p>
    <w:p>
      <w:r>
        <w:rPr>
          <w:b w:val="0"/>
        </w:rPr>
        <w:t>既知の因果関係がある場合は、LiNGAMプルーニングと組み合わせ：</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状況</w:t>
            </w:r>
          </w:p>
        </w:tc>
        <w:tc>
          <w:tcPr>
            <w:tcW w:type="dxa" w:w="2880"/>
          </w:tcPr>
          <w:p>
            <w:pPr>
              <w:jc w:val="left"/>
            </w:pPr>
            <w:r/>
            <w:r>
              <w:rPr>
                <w:b/>
                <w:sz w:val="18"/>
              </w:rPr>
              <w:t>推奨設定</w:t>
            </w:r>
          </w:p>
        </w:tc>
        <w:tc>
          <w:tcPr>
            <w:tcW w:type="dxa" w:w="2880"/>
          </w:tcPr>
          <w:p>
            <w:pPr>
              <w:jc w:val="left"/>
            </w:pPr>
            <w:r/>
            <w:r>
              <w:rPr>
                <w:b/>
                <w:sz w:val="18"/>
              </w:rPr>
              <w:t>理由</w:t>
            </w:r>
          </w:p>
        </w:tc>
      </w:tr>
      <w:tr>
        <w:tc>
          <w:tcPr>
            <w:tcW w:type="dxa" w:w="2880"/>
          </w:tcPr>
          <w:p>
            <w:pPr>
              <w:jc w:val="left"/>
            </w:pPr>
            <w:r/>
            <w:r>
              <w:rPr>
                <w:b w:val="0"/>
                <w:sz w:val="18"/>
              </w:rPr>
              <w:t>確信ある既知辺が少数</w:t>
            </w:r>
          </w:p>
        </w:tc>
        <w:tc>
          <w:tcPr>
            <w:tcW w:type="dxa" w:w="2880"/>
          </w:tcPr>
          <w:p>
            <w:pPr>
              <w:jc w:val="left"/>
            </w:pPr>
            <w:r/>
            <w:r>
              <w:rPr>
                <w:b w:val="0"/>
                <w:sz w:val="18"/>
              </w:rPr>
              <w:t xml:space="preserve">既知辺のみ </w:t>
            </w:r>
            <w:r>
              <w:rPr>
                <w:rFonts w:ascii="Cambria Math" w:hAnsi="Cambria Math"/>
                <w:sz w:val="18"/>
              </w:rPr>
              <w:t>C</w:t>
            </w:r>
            <w:r>
              <w:rPr>
                <w:b w:val="0"/>
                <w:sz w:val="18"/>
              </w:rPr>
              <w:t xml:space="preserve"> に設定、α=0.01</w:t>
            </w:r>
          </w:p>
        </w:tc>
        <w:tc>
          <w:tcPr>
            <w:tcW w:type="dxa" w:w="2880"/>
          </w:tcPr>
          <w:p>
            <w:pPr>
              <w:jc w:val="left"/>
            </w:pPr>
            <w:r/>
            <w:r>
              <w:rPr>
                <w:b w:val="0"/>
                <w:sz w:val="18"/>
              </w:rPr>
              <w:t>構造は同一、データ相関が辺の重みに反映</w:t>
            </w:r>
          </w:p>
        </w:tc>
      </w:tr>
      <w:tr>
        <w:tc>
          <w:tcPr>
            <w:tcW w:type="dxa" w:w="2880"/>
          </w:tcPr>
          <w:p>
            <w:pPr>
              <w:jc w:val="left"/>
            </w:pPr>
            <w:r/>
            <w:r>
              <w:rPr>
                <w:b w:val="0"/>
                <w:sz w:val="18"/>
              </w:rPr>
              <w:t>既知辺 + LiNGAM</w:t>
            </w:r>
          </w:p>
        </w:tc>
        <w:tc>
          <w:tcPr>
            <w:tcW w:type="dxa" w:w="2880"/>
          </w:tcPr>
          <w:p>
            <w:pPr>
              <w:jc w:val="left"/>
            </w:pPr>
            <w:r/>
            <w:r>
              <w:rPr>
                <w:rFonts w:ascii="Cambria Math" w:hAnsi="Cambria Math"/>
                <w:sz w:val="18"/>
              </w:rPr>
              <w:t>C = C</w:t>
            </w:r>
            <w:r>
              <w:rPr>
                <w:rFonts w:ascii="Cambria Math" w:hAnsi="Cambria Math"/>
                <w:sz w:val="18"/>
                <w:vertAlign w:val="subscript"/>
              </w:rPr>
              <w:t>known</w:t>
            </w:r>
            <w:r>
              <w:rPr>
                <w:rFonts w:ascii="Cambria Math" w:hAnsi="Cambria Math"/>
                <w:sz w:val="18"/>
              </w:rPr>
              <w:t xml:space="preserve"> + C</w:t>
            </w:r>
            <w:r>
              <w:rPr>
                <w:rFonts w:ascii="Cambria Math" w:hAnsi="Cambria Math"/>
                <w:sz w:val="18"/>
                <w:vertAlign w:val="subscript"/>
              </w:rPr>
              <w:t>LiNGAM(pruned)</w:t>
            </w:r>
            <w:r>
              <w:rPr>
                <w:b w:val="0"/>
                <w:sz w:val="18"/>
              </w:rPr>
              <w:t>、α=0.01</w:t>
            </w:r>
          </w:p>
        </w:tc>
        <w:tc>
          <w:tcPr>
            <w:tcW w:type="dxa" w:w="2880"/>
          </w:tcPr>
          <w:p>
            <w:pPr>
              <w:jc w:val="left"/>
            </w:pPr>
            <w:r/>
            <w:r>
              <w:rPr>
                <w:b w:val="0"/>
                <w:sz w:val="18"/>
              </w:rPr>
              <w:t>最も豊富な方向性情報</w:t>
            </w:r>
          </w:p>
        </w:tc>
      </w:tr>
      <w:tr>
        <w:tc>
          <w:tcPr>
            <w:tcW w:type="dxa" w:w="2880"/>
          </w:tcPr>
          <w:p>
            <w:pPr>
              <w:jc w:val="left"/>
            </w:pPr>
            <w:r/>
            <w:r>
              <w:rPr>
                <w:b w:val="0"/>
                <w:sz w:val="18"/>
              </w:rPr>
              <w:t>知識に不確実性あり</w:t>
            </w:r>
          </w:p>
        </w:tc>
        <w:tc>
          <w:tcPr>
            <w:tcW w:type="dxa" w:w="2880"/>
          </w:tcPr>
          <w:p>
            <w:pPr>
              <w:jc w:val="left"/>
            </w:pPr>
            <w:r/>
            <w:r>
              <w:rPr>
                <w:rFonts w:ascii="Cambria Math" w:hAnsi="Cambria Math"/>
                <w:sz w:val="18"/>
              </w:rPr>
              <w:t>C</w:t>
            </w:r>
            <w:r>
              <w:rPr>
                <w:b w:val="0"/>
                <w:sz w:val="18"/>
              </w:rPr>
              <w:t xml:space="preserve"> のうち不確実な辺を除外、α=0.01</w:t>
            </w:r>
          </w:p>
        </w:tc>
        <w:tc>
          <w:tcPr>
            <w:tcW w:type="dxa" w:w="2880"/>
          </w:tcPr>
          <w:p>
            <w:pPr>
              <w:jc w:val="left"/>
            </w:pPr>
            <w:r/>
            <w:r>
              <w:rPr>
                <w:b w:val="0"/>
                <w:sz w:val="18"/>
              </w:rPr>
              <w:t>§5.5: 部分的誤情報は無知より悪い</w:t>
            </w:r>
          </w:p>
        </w:tc>
      </w:tr>
      <w:tr>
        <w:tc>
          <w:tcPr>
            <w:tcW w:type="dxa" w:w="2880"/>
          </w:tcPr>
          <w:p>
            <w:pPr>
              <w:jc w:val="left"/>
            </w:pPr>
            <w:r/>
            <w:r>
              <w:rPr>
                <w:b w:val="0"/>
                <w:sz w:val="18"/>
              </w:rPr>
              <w:t>循環を含む分析が目的</w:t>
            </w:r>
          </w:p>
        </w:tc>
        <w:tc>
          <w:tcPr>
            <w:tcW w:type="dxa" w:w="2880"/>
          </w:tcPr>
          <w:p>
            <w:pPr>
              <w:jc w:val="left"/>
            </w:pPr>
            <w:r/>
            <w:r>
              <w:rPr>
                <w:b w:val="0"/>
                <w:sz w:val="18"/>
              </w:rPr>
              <w:t>α=0 でHodge分解のみ</w:t>
            </w:r>
          </w:p>
        </w:tc>
        <w:tc>
          <w:tcPr>
            <w:tcW w:type="dxa" w:w="2880"/>
          </w:tcPr>
          <w:p>
            <w:pPr>
              <w:jc w:val="left"/>
            </w:pPr>
            <w:r/>
            <w:r>
              <w:rPr>
                <w:b w:val="0"/>
                <w:sz w:val="18"/>
              </w:rPr>
              <w:t>DAG仮定を置かず、LiNGAMとは独立に解析</w:t>
            </w:r>
          </w:p>
        </w:tc>
      </w:tr>
    </w:tbl>
    <w:p/>
    <w:p>
      <w:pPr>
        <w:pStyle w:val="Heading2"/>
      </w:pPr>
      <w:r>
        <w:rPr>
          <w:b w:val="0"/>
        </w:rPr>
        <w:t>7.5 プルーニングレベルのチューニング</w:t>
      </w:r>
    </w:p>
    <w:p>
      <w:r>
        <w:rPr>
          <w:b w:val="0"/>
        </w:rPr>
        <w:t>臨床的には循環モデルが正しいため（§6.1）、どの程度プルーニングするかは分析目的に依存する：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left"/>
            </w:pPr>
            <w:r/>
            <w:r>
              <w:rPr>
                <w:b/>
                <w:sz w:val="18"/>
              </w:rPr>
              <w:t>目的</w:t>
            </w:r>
          </w:p>
        </w:tc>
        <w:tc>
          <w:tcPr>
            <w:tcW w:type="dxa" w:w="2880"/>
          </w:tcPr>
          <w:p>
            <w:pPr>
              <w:jc w:val="left"/>
            </w:pPr>
            <w:r/>
            <w:r>
              <w:rPr>
                <w:b/>
                <w:sz w:val="18"/>
              </w:rPr>
              <w:t>プルーニング水準</w:t>
            </w:r>
          </w:p>
        </w:tc>
        <w:tc>
          <w:tcPr>
            <w:tcW w:type="dxa" w:w="2880"/>
          </w:tcPr>
          <w:p>
            <w:pPr>
              <w:jc w:val="left"/>
            </w:pPr>
            <w:r/>
            <w:r>
              <w:rPr>
                <w:b/>
                <w:sz w:val="18"/>
              </w:rPr>
              <w:t>フィードバック率閾値</w:t>
            </w:r>
          </w:p>
        </w:tc>
      </w:tr>
      <w:tr>
        <w:tc>
          <w:tcPr>
            <w:tcW w:type="dxa" w:w="2880"/>
          </w:tcPr>
          <w:p>
            <w:pPr>
              <w:jc w:val="left"/>
            </w:pPr>
            <w:r/>
            <w:r>
              <w:rPr>
                <w:b/>
                <w:sz w:val="18"/>
              </w:rPr>
              <w:t>因果推論（介入計画）</w:t>
            </w:r>
          </w:p>
        </w:tc>
        <w:tc>
          <w:tcPr>
            <w:tcW w:type="dxa" w:w="2880"/>
          </w:tcPr>
          <w:p>
            <w:pPr>
              <w:jc w:val="left"/>
            </w:pPr>
            <w:r/>
            <w:r>
              <w:rPr>
                <w:b w:val="0"/>
                <w:sz w:val="18"/>
              </w:rPr>
              <w:t>強プルーニング</w:t>
            </w:r>
          </w:p>
        </w:tc>
        <w:tc>
          <w:tcPr>
            <w:tcW w:type="dxa" w:w="2880"/>
          </w:tcPr>
          <w:p>
            <w:pPr>
              <w:jc w:val="left"/>
            </w:pPr>
            <w:r/>
            <w:r>
              <w:rPr>
                <w:b w:val="0"/>
                <w:sz w:val="18"/>
              </w:rPr>
              <w:t>DAG辺のみ（&lt; 20%）</w:t>
            </w:r>
          </w:p>
        </w:tc>
      </w:tr>
      <w:tr>
        <w:tc>
          <w:tcPr>
            <w:tcW w:type="dxa" w:w="2880"/>
          </w:tcPr>
          <w:p>
            <w:pPr>
              <w:jc w:val="left"/>
            </w:pPr>
            <w:r/>
            <w:r>
              <w:rPr>
                <w:b/>
                <w:sz w:val="18"/>
              </w:rPr>
              <w:t>病態理解（メカニズム）</w:t>
            </w:r>
          </w:p>
        </w:tc>
        <w:tc>
          <w:tcPr>
            <w:tcW w:type="dxa" w:w="2880"/>
          </w:tcPr>
          <w:p>
            <w:pPr>
              <w:jc w:val="left"/>
            </w:pPr>
            <w:r/>
            <w:r>
              <w:rPr>
                <w:b w:val="0"/>
                <w:sz w:val="18"/>
              </w:rPr>
              <w:t>中プルーニング</w:t>
            </w:r>
          </w:p>
        </w:tc>
        <w:tc>
          <w:tcPr>
            <w:tcW w:type="dxa" w:w="2880"/>
          </w:tcPr>
          <w:p>
            <w:pPr>
              <w:jc w:val="left"/>
            </w:pPr>
            <w:r/>
            <w:r>
              <w:rPr>
                <w:b w:val="0"/>
                <w:sz w:val="18"/>
              </w:rPr>
              <w:t>弱循環も含む（&lt; 50%）</w:t>
            </w:r>
          </w:p>
        </w:tc>
      </w:tr>
      <w:tr>
        <w:tc>
          <w:tcPr>
            <w:tcW w:type="dxa" w:w="2880"/>
          </w:tcPr>
          <w:p>
            <w:pPr>
              <w:jc w:val="left"/>
            </w:pPr>
            <w:r/>
            <w:r>
              <w:rPr>
                <w:b/>
                <w:sz w:val="18"/>
              </w:rPr>
              <w:t>システム記述（全体像）</w:t>
            </w:r>
          </w:p>
        </w:tc>
        <w:tc>
          <w:tcPr>
            <w:tcW w:type="dxa" w:w="2880"/>
          </w:tcPr>
          <w:p>
            <w:pPr>
              <w:jc w:val="left"/>
            </w:pPr>
            <w:r/>
            <w:r>
              <w:rPr>
                <w:b w:val="0"/>
                <w:sz w:val="18"/>
              </w:rPr>
              <w:t>弱プルーニング</w:t>
            </w:r>
          </w:p>
        </w:tc>
        <w:tc>
          <w:tcPr>
            <w:tcW w:type="dxa" w:w="2880"/>
          </w:tcPr>
          <w:p>
            <w:pPr>
              <w:jc w:val="left"/>
            </w:pPr>
            <w:r/>
            <w:r>
              <w:rPr>
                <w:b w:val="0"/>
                <w:sz w:val="18"/>
              </w:rPr>
              <w:t>全辺保持（DCG）</w:t>
            </w:r>
          </w:p>
        </w:tc>
      </w:tr>
      <w:tr>
        <w:tc>
          <w:tcPr>
            <w:tcW w:type="dxa" w:w="2880"/>
          </w:tcPr>
          <w:p>
            <w:pPr>
              <w:jc w:val="left"/>
            </w:pPr>
            <w:r/>
            <w:r>
              <w:rPr>
                <w:b/>
                <w:sz w:val="18"/>
              </w:rPr>
              <w:t>フィードバック発見</w:t>
            </w:r>
          </w:p>
        </w:tc>
        <w:tc>
          <w:tcPr>
            <w:tcW w:type="dxa" w:w="2880"/>
          </w:tcPr>
          <w:p>
            <w:pPr>
              <w:jc w:val="left"/>
            </w:pPr>
            <w:r/>
            <w:r>
              <w:rPr>
                <w:b w:val="0"/>
                <w:sz w:val="18"/>
              </w:rPr>
              <w:t>プルーニングなし</w:t>
            </w:r>
          </w:p>
        </w:tc>
        <w:tc>
          <w:tcPr>
            <w:tcW w:type="dxa" w:w="2880"/>
          </w:tcPr>
          <w:p>
            <w:pPr>
              <w:jc w:val="left"/>
            </w:pPr>
            <w:r/>
            <w:r>
              <w:rPr>
                <w:b w:val="0"/>
                <w:sz w:val="18"/>
              </w:rPr>
              <w:t>高フィードバック率辺を積極検出</w:t>
            </w:r>
          </w:p>
        </w:tc>
      </w:tr>
    </w:tbl>
    <w:p/>
    <w:p>
      <w:r>
        <w:rPr>
          <w:b w:val="0"/>
        </w:rPr>
        <w:t>このチューニングにより、</w:t>
      </w:r>
      <w:r>
        <w:rPr>
          <w:b/>
        </w:rPr>
        <w:t>同一データ・同一パイプラインから目的に応じた異なる粒度の因果モデル</w:t>
      </w:r>
      <w:r>
        <w:rPr>
          <w:b w:val="0"/>
        </w:rPr>
        <w:t>を導出できる。これはLiNGAM（常にDAG）やスペクトル因果性単独（常にDCG）ではできない、ECDパイプラインの独自の強みである。</w:t>
      </w:r>
    </w:p>
    <w:p>
      <w:pPr>
        <w:pStyle w:val="Heading1"/>
      </w:pPr>
      <w:r>
        <w:rPr>
          <w:b w:val="0"/>
        </w:rPr>
        <w:t>8. ドメイン知識の必要性についての結論（改訂）</w:t>
      </w:r>
    </w:p>
    <w:p>
      <w:r>
        <w:rPr>
          <w:b w:val="0"/>
        </w:rPr>
        <w:t>§3–7の全解析を踏まえた改訂版：</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left"/>
            </w:pPr>
            <w:r/>
            <w:r>
              <w:rPr>
                <w:b/>
                <w:sz w:val="18"/>
              </w:rPr>
              <w:t>問い</w:t>
            </w:r>
          </w:p>
        </w:tc>
        <w:tc>
          <w:tcPr>
            <w:tcW w:type="dxa" w:w="4320"/>
          </w:tcPr>
          <w:p>
            <w:pPr>
              <w:jc w:val="left"/>
            </w:pPr>
            <w:r/>
            <w:r>
              <w:rPr>
                <w:b/>
                <w:sz w:val="18"/>
              </w:rPr>
              <w:t>回答</w:t>
            </w:r>
          </w:p>
        </w:tc>
      </w:tr>
      <w:tr>
        <w:tc>
          <w:tcPr>
            <w:tcW w:type="dxa" w:w="4320"/>
          </w:tcPr>
          <w:p>
            <w:pPr>
              <w:jc w:val="left"/>
            </w:pPr>
            <w:r/>
            <w:r>
              <w:rPr>
                <w:b w:val="0"/>
                <w:sz w:val="18"/>
              </w:rPr>
              <w:t>スペクトル因果性にドメイン知識は必須か？</w:t>
            </w:r>
          </w:p>
        </w:tc>
        <w:tc>
          <w:tcPr>
            <w:tcW w:type="dxa" w:w="4320"/>
          </w:tcPr>
          <w:p>
            <w:pPr>
              <w:jc w:val="left"/>
            </w:pPr>
            <w:r/>
            <w:r>
              <w:rPr>
                <w:b/>
                <w:sz w:val="18"/>
              </w:rPr>
              <w:t>方向推定には必須</w:t>
            </w:r>
            <w:r>
              <w:rPr>
                <w:b w:val="0"/>
                <w:sz w:val="18"/>
              </w:rPr>
              <w:t>。α=0では非対称成分がゼロとなり方向推定不能（§3.2）。</w:t>
            </w:r>
          </w:p>
        </w:tc>
      </w:tr>
      <w:tr>
        <w:tc>
          <w:tcPr>
            <w:tcW w:type="dxa" w:w="4320"/>
          </w:tcPr>
          <w:p>
            <w:pPr>
              <w:jc w:val="left"/>
            </w:pPr>
            <w:r/>
            <w:r>
              <w:rPr>
                <w:b w:val="0"/>
                <w:sz w:val="18"/>
              </w:rPr>
              <w:t>ドメイン知識の「量」は重要か？</w:t>
            </w:r>
          </w:p>
        </w:tc>
        <w:tc>
          <w:tcPr>
            <w:tcW w:type="dxa" w:w="4320"/>
          </w:tcPr>
          <w:p>
            <w:pPr>
              <w:jc w:val="left"/>
            </w:pPr>
            <w:r/>
            <w:r>
              <w:rPr>
                <w:b/>
                <w:sz w:val="18"/>
              </w:rPr>
              <w:t>不要</w:t>
            </w:r>
            <w:r>
              <w:rPr>
                <w:b w:val="0"/>
                <w:sz w:val="18"/>
              </w:rPr>
              <w:t>。α=10⁻⁶でもα=1でも同じDAG構造。不連続相転移（§5.1）。</w:t>
            </w:r>
          </w:p>
        </w:tc>
      </w:tr>
      <w:tr>
        <w:tc>
          <w:tcPr>
            <w:tcW w:type="dxa" w:w="4320"/>
          </w:tcPr>
          <w:p>
            <w:pPr>
              <w:jc w:val="left"/>
            </w:pPr>
            <w:r/>
            <w:r>
              <w:rPr>
                <w:b w:val="0"/>
                <w:sz w:val="18"/>
              </w:rPr>
              <w:t>ドメイン知識の「質」は重要か？</w:t>
            </w:r>
          </w:p>
        </w:tc>
        <w:tc>
          <w:tcPr>
            <w:tcW w:type="dxa" w:w="4320"/>
          </w:tcPr>
          <w:p>
            <w:pPr>
              <w:jc w:val="left"/>
            </w:pPr>
            <w:r/>
            <w:r>
              <w:rPr>
                <w:b/>
                <w:sz w:val="18"/>
              </w:rPr>
              <w:t>極めて重要</w:t>
            </w:r>
            <w:r>
              <w:rPr>
                <w:b w:val="0"/>
                <w:sz w:val="18"/>
              </w:rPr>
              <w:t>。85%以上正しければDAG維持。部分的誤りは無知より悪い（§5.2, §5.5）。</w:t>
            </w:r>
          </w:p>
        </w:tc>
      </w:tr>
      <w:tr>
        <w:tc>
          <w:tcPr>
            <w:tcW w:type="dxa" w:w="4320"/>
          </w:tcPr>
          <w:p>
            <w:pPr>
              <w:jc w:val="left"/>
            </w:pPr>
            <w:r/>
            <w:r>
              <w:rPr>
                <w:b w:val="0"/>
                <w:sz w:val="18"/>
              </w:rPr>
              <w:t>どの知識が最重要か？</w:t>
            </w:r>
          </w:p>
        </w:tc>
        <w:tc>
          <w:tcPr>
            <w:tcW w:type="dxa" w:w="4320"/>
          </w:tcPr>
          <w:p>
            <w:pPr>
              <w:jc w:val="left"/>
            </w:pPr>
            <w:r/>
            <w:r>
              <w:rPr>
                <w:b/>
                <w:sz w:val="18"/>
              </w:rPr>
              <w:t>根ノード（外生変数）の同定</w:t>
            </w:r>
            <w:r>
              <w:rPr>
                <w:b w:val="0"/>
                <w:sz w:val="18"/>
              </w:rPr>
              <w:t>。Age関連辺だけでDAG度0.59（§5.3）。</w:t>
            </w:r>
          </w:p>
        </w:tc>
      </w:tr>
      <w:tr>
        <w:tc>
          <w:tcPr>
            <w:tcW w:type="dxa" w:w="4320"/>
          </w:tcPr>
          <w:p>
            <w:pPr>
              <w:jc w:val="left"/>
            </w:pPr>
            <w:r/>
            <w:r>
              <w:rPr>
                <w:b w:val="0"/>
                <w:sz w:val="18"/>
              </w:rPr>
              <w:t>知識がない場合どうするか？</w:t>
            </w:r>
          </w:p>
        </w:tc>
        <w:tc>
          <w:tcPr>
            <w:tcW w:type="dxa" w:w="4320"/>
          </w:tcPr>
          <w:p>
            <w:pPr>
              <w:jc w:val="left"/>
            </w:pPr>
            <w:r/>
            <w:r>
              <w:rPr>
                <w:b/>
                <w:sz w:val="18"/>
              </w:rPr>
              <w:t>LiNGAMプルーニング→低α→Hodge</w:t>
            </w:r>
            <w:r>
              <w:rPr>
                <w:b w:val="0"/>
                <w:sz w:val="18"/>
              </w:rPr>
              <w:t>のECDパイプライン（§7）。</w:t>
            </w:r>
          </w:p>
        </w:tc>
      </w:tr>
      <w:tr>
        <w:tc>
          <w:tcPr>
            <w:tcW w:type="dxa" w:w="4320"/>
          </w:tcPr>
          <w:p>
            <w:pPr>
              <w:jc w:val="left"/>
            </w:pPr>
            <w:r/>
            <w:r>
              <w:rPr>
                <w:b w:val="0"/>
                <w:sz w:val="18"/>
              </w:rPr>
              <w:t>フィードバックはどう扱うか？</w:t>
            </w:r>
          </w:p>
        </w:tc>
        <w:tc>
          <w:tcPr>
            <w:tcW w:type="dxa" w:w="4320"/>
          </w:tcPr>
          <w:p>
            <w:pPr>
              <w:jc w:val="left"/>
            </w:pPr>
            <w:r/>
            <w:r>
              <w:rPr>
                <w:b/>
                <w:sz w:val="18"/>
              </w:rPr>
              <w:t>Hodgeカール成分で定量化</w:t>
            </w:r>
            <w:r>
              <w:rPr>
                <w:b w:val="0"/>
                <w:sz w:val="18"/>
              </w:rPr>
              <w:t>。辺ごとのフィードバック率でDAG/DCGハイブリッド（§6）。</w:t>
            </w:r>
          </w:p>
        </w:tc>
      </w:tr>
    </w:tbl>
    <w:p/>
    <w:p>
      <w:pPr>
        <w:pStyle w:val="Heading2"/>
      </w:pPr>
      <w:r>
        <w:rPr>
          <w:b w:val="0"/>
        </w:rPr>
        <w:t>今後の課題</w:t>
      </w:r>
    </w:p>
    <w:p>
      <w:pPr>
        <w:pStyle w:val="ListNumber"/>
      </w:pPr>
      <w:r>
        <w:rPr>
          <w:b/>
        </w:rPr>
        <w:t>ドメイン知識のエンコード改善</w:t>
      </w:r>
      <w:r>
        <w:rPr>
          <w:b w:val="0"/>
        </w:rPr>
        <w:t>: 「情報的影響度」ではなく「介入的因果強度」をエンコードする方法の開発</w:t>
      </w:r>
    </w:p>
    <w:p>
      <w:pPr>
        <w:pStyle w:val="ListNumber"/>
      </w:pPr>
      <w:r>
        <w:rPr>
          <w:b/>
        </w:rPr>
        <w:t>ECDパイプラインの他データでの検証</w:t>
      </w:r>
      <w:r>
        <w:rPr>
          <w:b w:val="0"/>
        </w:rPr>
        <w:t>: MIMIC-IV、日本健診コホート等でECDのフィードバック検出能力を検証</w:t>
      </w:r>
    </w:p>
    <w:p>
      <w:pPr>
        <w:pStyle w:val="ListNumber"/>
      </w:pPr>
      <w:r>
        <w:rPr>
          <w:b/>
        </w:rPr>
        <w:t>プルーニング閾値の自動化</w:t>
      </w:r>
      <w:r>
        <w:rPr>
          <w:b w:val="0"/>
        </w:rPr>
        <w:t>: フィードバック率のブートストラップ信頼区間に基づく自動閾値設定</w:t>
      </w:r>
    </w:p>
    <w:p>
      <w:pPr>
        <w:pStyle w:val="ListNumber"/>
      </w:pPr>
      <w:r>
        <w:rPr>
          <w:rFonts w:ascii="Cambria Math" w:hAnsi="Cambria Math"/>
          <w:b/>
        </w:rPr>
        <w:t>p</w:t>
      </w:r>
      <w:r>
        <w:rPr>
          <w:rFonts w:ascii="Cambria Math" w:hAnsi="Cambria Math"/>
          <w:b/>
          <w:vertAlign w:val="subscript"/>
        </w:rPr>
        <w:t>flip</w:t>
      </w:r>
      <w:r>
        <w:rPr>
          <w:b/>
        </w:rPr>
        <w:t xml:space="preserve"> の推定</w:t>
      </w:r>
      <w:r>
        <w:rPr>
          <w:b w:val="0"/>
        </w:rPr>
        <w:t xml:space="preserve">: LiNGAMとの一致率からドメイン知識の品質を推定→ </w:t>
      </w:r>
      <w:r>
        <w:rPr>
          <w:rFonts w:ascii="Cambria Math" w:hAnsi="Cambria Math"/>
        </w:rPr>
        <w:t>p̂</w:t>
      </w:r>
      <w:r>
        <w:rPr>
          <w:rFonts w:ascii="Cambria Math" w:hAnsi="Cambria Math"/>
          <w:vertAlign w:val="subscript"/>
        </w:rPr>
        <w:t>flip</w:t>
      </w:r>
      <w:r>
        <w:rPr>
          <w:rFonts w:ascii="Cambria Math" w:hAnsi="Cambria Math"/>
        </w:rPr>
        <w:t xml:space="preserve"> &gt; 0.15</w:t>
      </w:r>
      <w:r>
        <w:rPr>
          <w:b w:val="0"/>
        </w:rPr>
        <w:t xml:space="preserve"> なら警告</w:t>
      </w:r>
    </w:p>
    <w:p>
      <w:pPr>
        <w:pStyle w:val="Heading1"/>
      </w:pPr>
      <w:r>
        <w:rPr>
          <w:b w:val="0"/>
        </w:rPr>
        <w:t>9. 方法論の詳細</w:t>
      </w:r>
    </w:p>
    <w:p>
      <w:pPr>
        <w:pStyle w:val="Heading2"/>
      </w:pPr>
      <w:r>
        <w:rPr>
          <w:b w:val="0"/>
        </w:rPr>
        <w:t>9.1 スペクトル因果性の計算</w:t>
      </w:r>
    </w:p>
    <w:p>
      <w:r>
        <w:rPr>
          <w:b w:val="0"/>
        </w:rPr>
        <w:t xml:space="preserve">磁気ラプラシアン </w:t>
      </w:r>
      <w:r>
        <w:rPr>
          <w:rFonts w:ascii="Cambria Math" w:hAnsi="Cambria Math"/>
        </w:rPr>
        <w:t>L</w:t>
      </w:r>
      <w:r>
        <w:rPr>
          <w:rFonts w:ascii="Cambria Math" w:hAnsi="Cambria Math"/>
          <w:vertAlign w:val="superscript"/>
        </w:rPr>
        <w:t>(q)</w:t>
      </w:r>
      <w:r>
        <w:rPr>
          <w:rFonts w:ascii="Cambria Math" w:hAnsi="Cambria Math"/>
        </w:rPr>
        <w:t xml:space="preserve"> = I - D</w:t>
      </w:r>
      <w:r>
        <w:rPr>
          <w:rFonts w:ascii="Cambria Math" w:hAnsi="Cambria Math"/>
          <w:vertAlign w:val="superscript"/>
        </w:rPr>
        <w:t>-1/2</w:t>
      </w:r>
      <w:r>
        <w:rPr>
          <w:rFonts w:ascii="Cambria Math" w:hAnsi="Cambria Math"/>
        </w:rPr>
        <w:t xml:space="preserve"> H</w:t>
      </w:r>
      <w:r>
        <w:rPr>
          <w:rFonts w:ascii="Cambria Math" w:hAnsi="Cambria Math"/>
          <w:vertAlign w:val="superscript"/>
        </w:rPr>
        <w:t>(q)</w:t>
      </w:r>
      <w:r>
        <w:rPr>
          <w:rFonts w:ascii="Cambria Math" w:hAnsi="Cambria Math"/>
        </w:rPr>
        <w:t xml:space="preserve"> D</w:t>
      </w:r>
      <w:r>
        <w:rPr>
          <w:rFonts w:ascii="Cambria Math" w:hAnsi="Cambria Math"/>
          <w:vertAlign w:val="superscript"/>
        </w:rPr>
        <w:t>-1/2</w:t>
      </w:r>
      <w:r>
        <w:rPr>
          <w:b w:val="0"/>
        </w:rPr>
        <w:t xml:space="preserve"> の固有分解から：</w:t>
      </w:r>
    </w:p>
    <w:p>
      <w:pPr>
        <w:spacing w:before="120" w:after="120"/>
        <w:jc w:val="center"/>
      </w:pPr>
      <w:r>
        <w:rPr>
          <w:rFonts w:ascii="Cambria Math" w:hAnsi="Cambria Math"/>
        </w:rPr>
        <w:t>SCD(i, j) = Σ</w:t>
      </w:r>
      <w:r>
        <w:rPr>
          <w:rFonts w:ascii="Cambria Math" w:hAnsi="Cambria Math"/>
          <w:vertAlign w:val="subscript"/>
        </w:rPr>
        <w:t>k</w:t>
      </w:r>
      <w:r>
        <w:rPr>
          <w:rFonts w:ascii="Cambria Math" w:hAnsi="Cambria Math"/>
        </w:rPr>
        <w:t xml:space="preserve"> λ</w:t>
      </w:r>
      <w:r>
        <w:rPr>
          <w:rFonts w:ascii="Cambria Math" w:hAnsi="Cambria Math"/>
          <w:vertAlign w:val="subscript"/>
        </w:rPr>
        <w:t>k</w:t>
      </w:r>
      <w:r>
        <w:rPr>
          <w:rFonts w:ascii="Cambria Math" w:hAnsi="Cambria Math"/>
        </w:rPr>
        <w:t xml:space="preserve"> |u</w:t>
      </w:r>
      <w:r>
        <w:rPr>
          <w:rFonts w:ascii="Cambria Math" w:hAnsi="Cambria Math"/>
          <w:vertAlign w:val="subscript"/>
        </w:rPr>
        <w:t>k</w:t>
      </w:r>
      <w:r>
        <w:rPr>
          <w:rFonts w:ascii="Cambria Math" w:hAnsi="Cambria Math"/>
        </w:rPr>
        <w:t>(i)| |u</w:t>
      </w:r>
      <w:r>
        <w:rPr>
          <w:rFonts w:ascii="Cambria Math" w:hAnsi="Cambria Math"/>
          <w:vertAlign w:val="subscript"/>
        </w:rPr>
        <w:t>k</w:t>
      </w:r>
      <w:r>
        <w:rPr>
          <w:rFonts w:ascii="Cambria Math" w:hAnsi="Cambria Math"/>
        </w:rPr>
        <w:t>(j)| sin(θ</w:t>
      </w:r>
      <w:r>
        <w:rPr>
          <w:rFonts w:ascii="Cambria Math" w:hAnsi="Cambria Math"/>
          <w:vertAlign w:val="subscript"/>
        </w:rPr>
        <w:t>k</w:t>
      </w:r>
      <w:r>
        <w:rPr>
          <w:rFonts w:ascii="Cambria Math" w:hAnsi="Cambria Math"/>
        </w:rPr>
        <w:t>(i) - θ</w:t>
      </w:r>
      <w:r>
        <w:rPr>
          <w:rFonts w:ascii="Cambria Math" w:hAnsi="Cambria Math"/>
          <w:vertAlign w:val="subscript"/>
        </w:rPr>
        <w:t>k</w:t>
      </w:r>
      <w:r>
        <w:rPr>
          <w:rFonts w:ascii="Cambria Math" w:hAnsi="Cambria Math"/>
        </w:rPr>
        <w:t>(j))</w:t>
      </w:r>
    </w:p>
    <w:p>
      <w:pPr>
        <w:pStyle w:val="ListBullet"/>
      </w:pPr>
      <w:r>
        <w:rPr>
          <w:rFonts w:ascii="Cambria Math" w:hAnsi="Cambria Math"/>
        </w:rPr>
        <w:t>SCD(i,j) &gt; 0</w:t>
      </w:r>
      <w:r>
        <w:rPr>
          <w:b w:val="0"/>
        </w:rPr>
        <w:t xml:space="preserve">: </w:t>
      </w:r>
      <w:r>
        <w:rPr>
          <w:rFonts w:ascii="Cambria Math" w:hAnsi="Cambria Math"/>
        </w:rPr>
        <w:t>i → j</w:t>
      </w:r>
      <w:r>
        <w:rPr>
          <w:b w:val="0"/>
        </w:rPr>
        <w:t xml:space="preserve"> の方向</w:t>
      </w:r>
    </w:p>
    <w:p>
      <w:pPr>
        <w:pStyle w:val="ListBullet"/>
      </w:pPr>
      <w:r>
        <w:rPr>
          <w:rFonts w:ascii="Cambria Math" w:hAnsi="Cambria Math"/>
        </w:rPr>
        <w:t>SCD(i,j) &lt; 0</w:t>
      </w:r>
      <w:r>
        <w:rPr>
          <w:b w:val="0"/>
        </w:rPr>
        <w:t xml:space="preserve">: </w:t>
      </w:r>
      <w:r>
        <w:rPr>
          <w:rFonts w:ascii="Cambria Math" w:hAnsi="Cambria Math"/>
        </w:rPr>
        <w:t>j → i</w:t>
      </w:r>
      <w:r>
        <w:rPr>
          <w:b w:val="0"/>
        </w:rPr>
        <w:t xml:space="preserve"> の方向</w:t>
      </w:r>
    </w:p>
    <w:p>
      <w:pPr>
        <w:pStyle w:val="ListBullet"/>
      </w:pPr>
      <w:r>
        <w:rPr>
          <w:b w:val="0"/>
        </w:rPr>
        <w:t xml:space="preserve">反対称性: </w:t>
      </w:r>
      <w:r>
        <w:rPr>
          <w:rFonts w:ascii="Cambria Math" w:hAnsi="Cambria Math"/>
        </w:rPr>
        <w:t>SCD(i,j) = -SCD(j,i)</w:t>
      </w:r>
    </w:p>
    <w:p>
      <w:pPr>
        <w:pStyle w:val="Heading2"/>
      </w:pPr>
      <w:r>
        <w:rPr>
          <w:b w:val="0"/>
        </w:rPr>
        <w:t>9.2 Hodge分解</w:t>
      </w:r>
    </w:p>
    <w:p>
      <w:r>
        <w:rPr>
          <w:b w:val="0"/>
        </w:rPr>
        <w:t xml:space="preserve">エッジフロー </w:t>
      </w:r>
      <w:r>
        <w:rPr>
          <w:rFonts w:ascii="Cambria Math" w:hAnsi="Cambria Math"/>
        </w:rPr>
        <w:t>ω</w:t>
      </w:r>
      <w:r>
        <w:rPr>
          <w:b w:val="0"/>
        </w:rPr>
        <w:t xml:space="preserve"> を直交成分に分解：</w:t>
      </w:r>
    </w:p>
    <w:p>
      <w:pPr>
        <w:spacing w:before="120" w:after="120"/>
        <w:jc w:val="center"/>
      </w:pPr>
      <w:r>
        <w:rPr>
          <w:rFonts w:ascii="Cambria Math" w:hAnsi="Cambria Math"/>
        </w:rPr>
        <w:t>ω = ∇φ + δψ + h</w:t>
      </w:r>
    </w:p>
    <w:p>
      <w:pPr>
        <w:pStyle w:val="ListBullet"/>
      </w:pPr>
      <w:r>
        <w:rPr>
          <w:b w:val="0"/>
        </w:rPr>
        <w:t xml:space="preserve">勾配比率 </w:t>
      </w:r>
      <w:r>
        <w:rPr>
          <w:rFonts w:ascii="Cambria Math" w:hAnsi="Cambria Math"/>
        </w:rPr>
        <w:t>r</w:t>
      </w:r>
      <w:r>
        <w:rPr>
          <w:rFonts w:ascii="Cambria Math" w:hAnsi="Cambria Math"/>
          <w:vertAlign w:val="subscript"/>
        </w:rPr>
        <w:t>gradient</w:t>
      </w:r>
      <w:r>
        <w:rPr>
          <w:rFonts w:ascii="Cambria Math" w:hAnsi="Cambria Math"/>
        </w:rPr>
        <w:t xml:space="preserve"> = ‖∇φ‖</w:t>
      </w:r>
      <w:r>
        <w:rPr>
          <w:rFonts w:ascii="Cambria Math" w:hAnsi="Cambria Math"/>
          <w:vertAlign w:val="superscript"/>
        </w:rPr>
        <w:t>2</w:t>
      </w:r>
      <w:r>
        <w:rPr>
          <w:rFonts w:ascii="Cambria Math" w:hAnsi="Cambria Math"/>
        </w:rPr>
        <w:t xml:space="preserve"> / ‖ω‖</w:t>
      </w:r>
      <w:r>
        <w:rPr>
          <w:rFonts w:ascii="Cambria Math" w:hAnsi="Cambria Math"/>
          <w:vertAlign w:val="superscript"/>
        </w:rPr>
        <w:t>2</w:t>
      </w:r>
      <w:r>
        <w:rPr>
          <w:b w:val="0"/>
        </w:rPr>
        <w:t xml:space="preserve"> がDAG的因果フローの割合</w:t>
      </w:r>
    </w:p>
    <w:p>
      <w:pPr>
        <w:pStyle w:val="ListBullet"/>
      </w:pPr>
      <w:r>
        <w:rPr>
          <w:rFonts w:ascii="Cambria Math" w:hAnsi="Cambria Math"/>
        </w:rPr>
        <w:t>φ</w:t>
      </w:r>
      <w:r>
        <w:rPr>
          <w:b w:val="0"/>
        </w:rPr>
        <w:t>（因果ポテンシャル）の値が大きいほど因果的上流</w:t>
      </w:r>
    </w:p>
    <w:p>
      <w:pPr>
        <w:pStyle w:val="Heading2"/>
      </w:pPr>
      <w:r>
        <w:rPr>
          <w:b w:val="0"/>
        </w:rPr>
        <w:t>9.3 ユーティリティ行列の構成</w:t>
      </w:r>
    </w:p>
    <w:p>
      <w:pPr>
        <w:spacing w:before="120" w:after="120"/>
        <w:jc w:val="center"/>
      </w:pPr>
      <w:r>
        <w:rPr>
          <w:rFonts w:ascii="Cambria Math" w:hAnsi="Cambria Math"/>
        </w:rPr>
        <w:t>U(i → j) = α · C</w:t>
      </w:r>
      <w:r>
        <w:rPr>
          <w:rFonts w:ascii="Cambria Math" w:hAnsi="Cambria Math"/>
          <w:vertAlign w:val="subscript"/>
        </w:rPr>
        <w:t>clinical</w:t>
      </w:r>
      <w:r>
        <w:rPr>
          <w:rFonts w:ascii="Cambria Math" w:hAnsi="Cambria Math"/>
        </w:rPr>
        <w:t>(i,j) + (1-α) · |corr(X</w:t>
      </w:r>
      <w:r>
        <w:rPr>
          <w:rFonts w:ascii="Cambria Math" w:hAnsi="Cambria Math"/>
          <w:vertAlign w:val="subscript"/>
        </w:rPr>
        <w:t>i</w:t>
      </w:r>
      <w:r>
        <w:rPr>
          <w:rFonts w:ascii="Cambria Math" w:hAnsi="Cambria Math"/>
        </w:rPr>
        <w:t>, X</w:t>
      </w:r>
      <w:r>
        <w:rPr>
          <w:rFonts w:ascii="Cambria Math" w:hAnsi="Cambria Math"/>
          <w:vertAlign w:val="subscript"/>
        </w:rPr>
        <w:t>j</w:t>
      </w:r>
      <w:r>
        <w:rPr>
          <w:rFonts w:ascii="Cambria Math" w:hAnsi="Cambria Math"/>
        </w:rPr>
        <w:t>)|</w:t>
      </w:r>
    </w:p>
    <w:p>
      <w:pPr>
        <w:pStyle w:val="ListBullet"/>
      </w:pPr>
      <w:r>
        <w:rPr>
          <w:rFonts w:ascii="Cambria Math" w:hAnsi="Cambria Math"/>
        </w:rPr>
        <w:t>α = 0.6</w:t>
      </w:r>
      <w:r>
        <w:rPr>
          <w:b w:val="0"/>
        </w:rPr>
        <w:t>: 臨床知識60%、データ駆動40%</w:t>
      </w:r>
    </w:p>
    <w:p>
      <w:pPr>
        <w:pStyle w:val="ListBullet"/>
      </w:pPr>
      <w:r>
        <w:rPr>
          <w:rFonts w:ascii="Cambria Math" w:hAnsi="Cambria Math"/>
        </w:rPr>
        <w:t>α = 0</w:t>
      </w:r>
      <w:r>
        <w:rPr>
          <w:b w:val="0"/>
        </w:rPr>
        <w:t>: 純データ駆動（ドメイン知識なし）</w:t>
      </w:r>
    </w:p>
    <w:p>
      <w:pPr>
        <w:pStyle w:val="ListBullet"/>
      </w:pPr>
      <w:r>
        <w:rPr>
          <w:rFonts w:ascii="Cambria Math" w:hAnsi="Cambria Math"/>
        </w:rPr>
        <w:t>C</w:t>
      </w:r>
      <w:r>
        <w:rPr>
          <w:rFonts w:ascii="Cambria Math" w:hAnsi="Cambria Math"/>
          <w:vertAlign w:val="subscript"/>
        </w:rPr>
        <w:t>clinical</w:t>
      </w:r>
      <w:r>
        <w:rPr>
          <w:b w:val="0"/>
        </w:rPr>
        <w:t>: 臨床的影響度（専門家エンコード）</w:t>
      </w:r>
    </w:p>
    <w:p>
      <w:pPr>
        <w:pStyle w:val="Heading1"/>
      </w:pPr>
      <w:r>
        <w:rPr>
          <w:b w:val="0"/>
        </w:rPr>
        <w:t>参考文献</w:t>
      </w:r>
    </w:p>
    <w:p>
      <w:pPr>
        <w:pStyle w:val="ListNumber"/>
      </w:pPr>
      <w:r>
        <w:rPr>
          <w:b w:val="0"/>
        </w:rPr>
        <w:t xml:space="preserve">Shimizu, S. et al. (2006). A Linear Non-Gaussian Acyclic Model for Causal Discovery. </w:t>
      </w:r>
      <w:r>
        <w:rPr>
          <w:b w:val="0"/>
          <w:i/>
        </w:rPr>
        <w:t>JMLR</w:t>
      </w:r>
      <w:r>
        <w:rPr>
          <w:b w:val="0"/>
        </w:rPr>
        <w:t>, 7, 2003–2030.</w:t>
      </w:r>
    </w:p>
    <w:p>
      <w:pPr>
        <w:pStyle w:val="ListNumber"/>
      </w:pPr>
      <w:r>
        <w:rPr>
          <w:b w:val="0"/>
        </w:rPr>
        <w:t xml:space="preserve">Zhang, Y. et al. (2021). MagNet: A Neural Network for Directed Graphs. </w:t>
      </w:r>
      <w:r>
        <w:rPr>
          <w:b w:val="0"/>
          <w:i/>
        </w:rPr>
        <w:t>NeurIPS</w:t>
      </w:r>
      <w:r>
        <w:rPr>
          <w:b w:val="0"/>
        </w:rPr>
        <w:t>.</w:t>
      </w:r>
    </w:p>
    <w:p>
      <w:pPr>
        <w:pStyle w:val="ListNumber"/>
      </w:pPr>
      <w:r>
        <w:rPr>
          <w:b w:val="0"/>
        </w:rPr>
        <w:t xml:space="preserve">Maehara, T. &amp; Ohkawa, N. (2019). Hodge Decomposition for Single-Cell Data. </w:t>
      </w:r>
      <w:r>
        <w:rPr>
          <w:b w:val="0"/>
          <w:i/>
        </w:rPr>
        <w:t>arXiv:1907.04773</w:t>
      </w:r>
      <w:r>
        <w:rPr>
          <w:b w:val="0"/>
        </w:rPr>
        <w:t>.</w:t>
      </w:r>
    </w:p>
    <w:p>
      <w:pPr>
        <w:pStyle w:val="ListNumber"/>
      </w:pPr>
      <w:r>
        <w:rPr>
          <w:b w:val="0"/>
        </w:rPr>
        <w:t xml:space="preserve">Detrano, R. et al. (1989). International application of a new probability algorithm for the diagnosis of coronary artery disease. </w:t>
      </w:r>
      <w:r>
        <w:rPr>
          <w:b w:val="0"/>
          <w:i/>
        </w:rPr>
        <w:t>Am J Cardiol</w:t>
      </w:r>
      <w:r>
        <w:rPr>
          <w:b w:val="0"/>
        </w:rPr>
        <w:t>, 64(5), 304–310.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