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May 03, 2026</w:t>
      </w:r>
    </w:p>
    <w:p>
      <w:pPr>
        <w:spacing w:after="0"/>
      </w:pPr>
      <w:r>
        <w:t>Professor Rosie Campbell, Professor Oliver Heath, and Professor Nick Vivyan</w:t>
      </w:r>
    </w:p>
    <w:p>
      <w:pPr>
        <w:spacing w:after="0"/>
      </w:pPr>
      <w:r>
        <w:t>Co-Editors in Chief</w:t>
      </w:r>
    </w:p>
    <w:p>
      <w:pPr>
        <w:spacing w:after="0"/>
      </w:pPr>
      <w:r>
        <w:t>Electoral Studies</w:t>
      </w:r>
    </w:p>
    <w:p/>
    <w:p>
      <w:pPr>
        <w:spacing w:after="240"/>
      </w:pPr>
      <w:r>
        <w:t>Dear Professors Campbell, Heath, and Vivyan,</w:t>
      </w:r>
    </w:p>
    <w:p>
      <w:pPr>
        <w:spacing w:after="120"/>
      </w:pPr>
      <w:r>
        <w:t>We are pleased to submit our manuscript entitled "Trust-Adjusted Transparent Scoring with Unified Knowledge Integration (TATSUKI): An Agent-Based Model of Accountability-Driven Electoral Reform with Empirical Calibration" for consideration for publication in Electoral Studies.</w:t>
      </w:r>
    </w:p>
    <w:p>
      <w:pPr>
        <w:spacing w:after="120"/>
      </w:pPr>
      <w:r>
        <w:t>This paper introduces TATSUKI, a novel electoral mechanism that links candidate trust coefficients to measured policy fulfillment through influence functions, creating continuous accountability incentives within representative democracy. Unlike binary electoral sanctions (re-election vs. defeat), TATSUKI modulates candidates’ effective vote share based on their demonstrated pledge fulfillment, thereby incentivizing sincere policy delivery.</w:t>
      </w:r>
    </w:p>
    <w:p>
      <w:pPr>
        <w:spacing w:after="120"/>
      </w:pPr>
      <w:r>
        <w:t>We believe this work is particularly well-suited for Electoral Studies for three reasons. First, it directly addresses the core question of how electoral institutions can enhance democratic accountability—a central concern of your readership. Second, the paper bridges theoretical mechanism design with empirical evidence: we calibrate the model using the Polimeter pledge-tracking project (1,050 coded promises from the Trudeau government across three parliamentary terms, 2015–2025) and cross-national benchmarks from Thomson et al. (2017, AJPS; 20,000+ pledges, 12 countries, 57 elections). Third, the counterfactual analysis—retroactively applying TATSUKI to real-world Canadian data—demonstrates the mechanism’s empirical plausibility and provides a template for future applied research on electoral accountability.</w:t>
      </w:r>
    </w:p>
    <w:p>
      <w:pPr>
        <w:spacing w:after="120"/>
      </w:pPr>
      <w:r>
        <w:t>Key contributions of the manuscript include: (i) a formal specification of the TATSUKI mechanism with three families of influence functions (concave, linear, sigmoid); (ii) an ODD-protocol compliant agent-based model demonstrating TATSUKI’s effects on accountability scores, candidate-type evolution, and voter welfare; (iii) adversarial robustness analysis using genetic algorithm search; and (iv) empirical calibration using Polimeter and Thomson et al. data, with counterfactual trust trajectory analysis for a real-world minority government.</w:t>
      </w:r>
    </w:p>
    <w:p>
      <w:pPr>
        <w:spacing w:after="120"/>
      </w:pPr>
      <w:r>
        <w:t>The manuscript has not been published elsewhere and is not under consideration by any other journal. All authors have approved the manuscript and agree with its submission to Electoral Studies. The authors declare no competing interests.</w:t>
      </w:r>
    </w:p>
    <w:p>
      <w:pPr>
        <w:spacing w:after="120"/>
      </w:pPr>
      <w:r>
        <w:t>We confirm that this submission complies with the journal’s double-anonymized review policy: the manuscript contains no author-identifying information. Author details are provided in the separate title page.</w:t>
      </w:r>
    </w:p>
    <w:p>
      <w:pPr>
        <w:spacing w:after="120"/>
      </w:pPr>
      <w:r>
        <w:t>Thank you for considering our submission. We look forward to receiving your decision.</w:t>
      </w:r>
    </w:p>
    <w:p/>
    <w:p>
      <w:pPr>
        <w:spacing w:after="0"/>
      </w:pPr>
      <w:r>
        <w:t>Sincerely,</w:t>
      </w:r>
    </w:p>
    <w:p>
      <w:pPr>
        <w:spacing w:after="0"/>
      </w:pPr>
    </w:p>
    <w:p>
      <w:pPr>
        <w:spacing w:after="0"/>
      </w:pPr>
      <w:r>
        <w:t>[Corresponding Author Name]</w:t>
      </w:r>
    </w:p>
    <w:p>
      <w:pPr>
        <w:spacing w:after="0"/>
      </w:pPr>
      <w:r>
        <w:t>[Affiliation]</w:t>
      </w:r>
    </w:p>
    <w:p>
      <w:pPr>
        <w:spacing w:after="0"/>
      </w:pPr>
      <w:r>
        <w:t>[Email Address]</w:t>
      </w:r>
    </w:p>
    <w:p>
      <w:pPr>
        <w:spacing w:after="0"/>
      </w:pPr>
      <w:r>
        <w:t>[ORCID]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