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April 14, 2026</w:t>
      </w:r>
    </w:p>
    <w:p>
      <w:pPr>
        <w:spacing w:after="360"/>
      </w:pPr>
      <w:r>
        <w:rPr>
          <w:b w:val="0"/>
          <w:i w:val="0"/>
          <w:sz w:val="24"/>
        </w:rPr>
        <w:t>The Editors</w:t>
        <w:br/>
        <w:t>Demographic Research</w:t>
        <w:br/>
        <w:t>Max Planck Institute for Demographic Research</w:t>
        <w:br/>
        <w:t>Konrad-Zuse-Str. 1</w:t>
        <w:br/>
        <w:t>18057 Rostock, Germany</w:t>
      </w:r>
    </w:p>
    <w:p>
      <w:pPr>
        <w:spacing w:after="240"/>
      </w:pPr>
      <w:r>
        <w:rPr>
          <w:b w:val="0"/>
          <w:i w:val="0"/>
          <w:sz w:val="24"/>
        </w:rPr>
        <w:t>Dear Editors,</w:t>
      </w:r>
    </w:p>
    <w:p>
      <w:pPr>
        <w:spacing w:after="240"/>
      </w:pPr>
      <w:r>
        <w:rPr>
          <w:b/>
          <w:i w:val="0"/>
          <w:sz w:val="24"/>
        </w:rPr>
        <w:t>Re: Submission of Research Article — "The Forgotten Tempo Effect: Delayed Childbearing, Simultaneously Living Population, and the Pace of Social Adaptation Across OECD Countries"</w:t>
      </w:r>
    </w:p>
    <w:p>
      <w:pPr>
        <w:spacing w:after="160"/>
      </w:pPr>
      <w:r>
        <w:rPr>
          <w:b w:val="0"/>
          <w:i w:val="0"/>
          <w:sz w:val="24"/>
        </w:rPr>
        <w:t>We wish to submit the enclosed manuscript for consideration as a Research Article in Demographic Research. This paper revisits the tempo effect — the independent influence of birth timing on population size — which, despite seminal contributions by Bongaarts and Feeney (1998) and foundational work by Goldstein, Lutz, and Scherbov (2003), has largely disappeared from contemporary policy discourse on demographic decline.</w:t>
      </w:r>
    </w:p>
    <w:p>
      <w:pPr>
        <w:spacing w:after="160"/>
      </w:pPr>
      <w:r>
        <w:rPr>
          <w:b w:val="0"/>
          <w:i w:val="0"/>
          <w:sz w:val="24"/>
        </w:rPr>
        <w:t>We believe Demographic Research is the ideal venue for this work for three reasons:</w:t>
        <w:br/>
        <w:br/>
        <w:t>1. Intellectual home: Demographic Research has been central to the development of tempo-adjustment methodology, publishing key contributions including Kohler and Ortega (2002) on tempo-adjusted parity progression measures and Frejka and Sobotka (2008) on diverse European fertility patterns. Our paper extends this tradition by providing the first systematic 40-country empirical validation of the tempo effect on simultaneously living population.</w:t>
        <w:br/>
        <w:br/>
        <w:t>2. Empirical contribution: Using a parsimonious four-parameter endogenous renewal model validated against UN WPP 2024 data for 38 OECD member states plus China and the DRC over 1970–2023, we achieve a median absolute percentage error of 4.6% — demonstrating that quantum, tempo, and survival alone explain the vast majority of population dynamics across diverse demographic contexts.</w:t>
        <w:br/>
        <w:br/>
        <w:t>3. Policy reframing: We introduce the concept that tempo-sensitive policies control not merely population size but the speed at which societies must adapt their institutions to demographic change. This ‘pace of adaptation’ framing — showing that a 5-year MAC increase reduces simultaneously living population by approximately one-sixth, independent of TFR — offers a novel perspective that aligns with the journal’s commitment to publishing research with clear policy relevance.</w:t>
      </w:r>
    </w:p>
    <w:p>
      <w:pPr>
        <w:spacing w:after="160"/>
      </w:pPr>
      <w:r>
        <w:rPr>
          <w:b w:val="0"/>
          <w:i w:val="0"/>
          <w:sz w:val="24"/>
        </w:rPr>
        <w:t>The manuscript is approximately 6,500 words with 7 figures, 4 tables, and 3 appendices (including a comparative table of national population projection methodologies for 15 countries/agencies, and a natural experiments analysis examining countries with major political/border changes as exogenous shocks). It follows GATHER reporting guidelines and the Demographic Research author guidelines. All analytical code and data sources are documented for full reproducibility. The manuscript is formatted for double-anonymised review; author-identifying information appears only in this cover letter.</w:t>
      </w:r>
    </w:p>
    <w:p>
      <w:pPr>
        <w:spacing w:after="240"/>
      </w:pPr>
      <w:r>
        <w:rPr>
          <w:b w:val="0"/>
          <w:i w:val="0"/>
          <w:sz w:val="24"/>
        </w:rPr>
        <w:t>The work is original and is not under consideration for publication elsewhere. All authors have approved the manuscript and declare no competing interests.</w:t>
      </w:r>
    </w:p>
    <w:p>
      <w:pPr>
        <w:spacing w:after="360"/>
      </w:pPr>
      <w:r>
        <w:rPr>
          <w:b w:val="0"/>
          <w:i w:val="0"/>
          <w:sz w:val="24"/>
        </w:rPr>
        <w:t>Yours sincerely,</w:t>
      </w:r>
    </w:p>
    <w:p>
      <w:pPr>
        <w:spacing w:after="120"/>
      </w:pPr>
      <w:r>
        <w:rPr>
          <w:b w:val="0"/>
          <w:i w:val="0"/>
          <w:sz w:val="24"/>
        </w:rPr>
        <w:t>Tatsuki Onishi</w:t>
        <w:br/>
        <w:t>[Affiliation]</w:t>
        <w:br/>
        <w:t>[Email]</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