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right"/>
      </w:pPr>
      <w:r>
        <w:rPr>
          <w:b w:val="0"/>
          <w:i w:val="0"/>
          <w:sz w:val="24"/>
        </w:rPr>
        <w:t>April 14, 2026</w:t>
      </w:r>
    </w:p>
    <w:p>
      <w:pPr>
        <w:spacing w:after="360"/>
      </w:pPr>
      <w:r>
        <w:rPr>
          <w:b w:val="0"/>
          <w:i w:val="0"/>
          <w:sz w:val="24"/>
        </w:rPr>
        <w:t>The Editors</w:t>
        <w:br/>
        <w:t>Population and Development Review</w:t>
        <w:br/>
        <w:t>Population Council</w:t>
        <w:br/>
        <w:t>One Dag Hammarskjold Plaza</w:t>
        <w:br/>
        <w:t>New York, NY 10017, USA</w:t>
      </w:r>
    </w:p>
    <w:p>
      <w:pPr>
        <w:spacing w:after="240"/>
      </w:pPr>
      <w:r>
        <w:rPr>
          <w:b w:val="0"/>
          <w:i w:val="0"/>
          <w:sz w:val="24"/>
        </w:rPr>
        <w:t>Dear Editors,</w:t>
      </w:r>
    </w:p>
    <w:p>
      <w:pPr>
        <w:spacing w:after="240"/>
      </w:pPr>
      <w:r>
        <w:rPr>
          <w:b/>
          <w:i w:val="0"/>
          <w:sz w:val="24"/>
        </w:rPr>
        <w:t>Re: Submission of Notes and Commentary — "The Forgotten Tempo Effect: Delayed Childbearing, Simultaneously Living Population, and the Pace of Social Adaptation Across OECD Countries"</w:t>
      </w:r>
    </w:p>
    <w:p>
      <w:pPr>
        <w:spacing w:after="160"/>
      </w:pPr>
      <w:r>
        <w:rPr>
          <w:b w:val="0"/>
          <w:i w:val="0"/>
          <w:sz w:val="24"/>
        </w:rPr>
        <w:t>We wish to submit the enclosed manuscript for consideration as a Notes and Commentary article in Population and Development Review. This paper revisits the tempo effect — the independent influence of birth timing on population size — which, despite seminal contributions by Bongaarts and Feeney (1998) and the foundational work by Goldstein, Lutz, and Scherbov (2003) published in this journal, has largely disappeared from contemporary policy discourse on demographic decline.</w:t>
      </w:r>
    </w:p>
    <w:p>
      <w:pPr>
        <w:spacing w:after="160"/>
      </w:pPr>
      <w:r>
        <w:rPr>
          <w:b w:val="0"/>
          <w:i w:val="0"/>
          <w:sz w:val="24"/>
        </w:rPr>
        <w:t>We believe PDR is the natural venue for this work for three reasons:</w:t>
        <w:br/>
        <w:br/>
        <w:t>1. Intellectual lineage: Goldstein, Lutz, and Scherbov’s (2003) demonstration that generational length changes reduce population size was published in PDR. Our paper extends their EU-15 analysis to 40 countries with 20 additional years of data, using a complementary modelling approach.</w:t>
        <w:br/>
        <w:br/>
        <w:t>2. Empirical contribution: Using a parsimonious four-parameter endogenous renewal model validated against UN WPP 2024 data for 38 OECD member states plus China and the DRC over 1970–2023, we achieve a median absolute percentage error of 4.6% — demonstrating that quantum, tempo, and survival alone explain the vast majority of population dynamics across diverse demographic contexts.</w:t>
        <w:br/>
        <w:br/>
        <w:t>3. Policy reframing: We introduce the concept that tempo-sensitive policies control not merely population size but the speed at which societies must adapt their institutions to demographic change. This “pace of adaptation” framing — showing that a 5-year MAC increase reduces simultaneously living population by ~1/6 independent of TFR — offers a novel perspective for the PDR readership.</w:t>
      </w:r>
    </w:p>
    <w:p>
      <w:pPr>
        <w:spacing w:after="160"/>
      </w:pPr>
      <w:r>
        <w:rPr>
          <w:b w:val="0"/>
          <w:i w:val="0"/>
          <w:sz w:val="24"/>
        </w:rPr>
        <w:t>The manuscript is approximately 6,500 words with 7 figures, 4 tables, and 3 appendices (including a comparative table of national population projection methodologies for 15 countries/agencies, and a natural experiments analysis examining countries with major political/border changes as exogenous shocks). It follows GATHER reporting guidelines. The manuscript is formatted for double-anonymised review; author-identifying information appears only in this cover letter.</w:t>
      </w:r>
    </w:p>
    <w:p>
      <w:pPr>
        <w:spacing w:after="240"/>
      </w:pPr>
      <w:r>
        <w:rPr>
          <w:b w:val="0"/>
          <w:i w:val="0"/>
          <w:sz w:val="24"/>
        </w:rPr>
        <w:t>The work is original and is not under consideration for publication as a full article elsewhere. All authors have approved the manuscript and declare no competing interests.</w:t>
      </w:r>
    </w:p>
    <w:p>
      <w:pPr>
        <w:spacing w:after="360"/>
      </w:pPr>
      <w:r>
        <w:rPr>
          <w:b w:val="0"/>
          <w:i w:val="0"/>
          <w:sz w:val="24"/>
        </w:rPr>
        <w:t>Yours sincerely,</w:t>
      </w:r>
    </w:p>
    <w:p>
      <w:pPr>
        <w:spacing w:after="120"/>
      </w:pPr>
      <w:r>
        <w:rPr>
          <w:b w:val="0"/>
          <w:i w:val="0"/>
          <w:sz w:val="24"/>
        </w:rPr>
        <w:t>Tatsuki Onishi</w:t>
        <w:br/>
        <w:t>[Affiliation]</w:t>
        <w:br/>
        <w:t>[Email]</w:t>
        <w:br/>
        <w:t>[ORCID]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