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4"/>
        </w:rPr>
        <w:t>[Date]</w:t>
      </w:r>
    </w:p>
    <w:p>
      <w:pPr>
        <w:spacing w:after="40"/>
      </w:pPr>
      <w:r>
        <w:rPr>
          <w:b/>
          <w:i w:val="0"/>
          <w:sz w:val="24"/>
        </w:rPr>
        <w:t>The Editors</w:t>
      </w:r>
    </w:p>
    <w:p>
      <w:pPr>
        <w:spacing w:after="40"/>
      </w:pPr>
      <w:r>
        <w:rPr>
          <w:b w:val="0"/>
          <w:i/>
          <w:sz w:val="24"/>
        </w:rPr>
        <w:t>Population Studies</w:t>
      </w:r>
    </w:p>
    <w:p>
      <w:pPr>
        <w:spacing w:after="40"/>
      </w:pPr>
      <w:r>
        <w:rPr>
          <w:b w:val="0"/>
          <w:i w:val="0"/>
          <w:sz w:val="24"/>
        </w:rPr>
        <w:t>Population Investigation Committee</w:t>
      </w:r>
    </w:p>
    <w:p>
      <w:pPr>
        <w:spacing w:after="360"/>
      </w:pPr>
      <w:r>
        <w:rPr>
          <w:b w:val="0"/>
          <w:i w:val="0"/>
          <w:sz w:val="24"/>
        </w:rPr>
        <w:t>London School of Economics and Political Science</w:t>
      </w:r>
    </w:p>
    <w:p>
      <w:pPr>
        <w:spacing w:after="240"/>
      </w:pPr>
      <w:r>
        <w:rPr>
          <w:b w:val="0"/>
          <w:i w:val="0"/>
          <w:sz w:val="24"/>
        </w:rPr>
        <w:t>Dear Editors,</w:t>
      </w:r>
    </w:p>
    <w:p>
      <w:pPr>
        <w:spacing w:after="240"/>
      </w:pPr>
      <w:r>
        <w:rPr>
          <w:b w:val="0"/>
          <w:i w:val="0"/>
          <w:sz w:val="24"/>
        </w:rPr>
        <w:t>We are pleased to submit our manuscript entitled “Quantifying the Tempo Effect on Simultaneously Living Population: Evidence from 40 Countries, 1970–2023” for consideration as a research article in Population Studies.</w:t>
      </w:r>
    </w:p>
    <w:p>
      <w:pPr>
        <w:spacing w:after="240"/>
      </w:pPr>
      <w:r>
        <w:rPr>
          <w:b w:val="0"/>
          <w:i w:val="0"/>
          <w:sz w:val="24"/>
        </w:rPr>
        <w:t>When discussing population decline, scholarship and policy almost exclusively focus on two demographic forces: how many children are born (fertility quantum) and how long people live (survival). Immigration is then invoked as the principal corrective mechanism. Yet demographic theory has long recognised a third, independent force: the timing of births. When childbearing is postponed, generational spacing widens, fewer generations overlap at any given moment, and the simultaneously living population (SLP) shrinks—even if the number of children per woman remains unchanged. This tempo channel, identified by Goldstein et al. (2003), has received remarkably little empirical follow-up.</w:t>
      </w:r>
    </w:p>
    <w:p>
      <w:pPr>
        <w:spacing w:after="240"/>
      </w:pPr>
      <w:r>
        <w:rPr>
          <w:b w:val="0"/>
          <w:i w:val="0"/>
          <w:sz w:val="24"/>
        </w:rPr>
        <w:t>Our paper provides five contributions. First, we demonstrate that the tempo effect is invisible within standard projection frameworks. Comparing a tempo-invariant model (fertility level and survival updated decadally, but mean age at childbearing [MAC] held fixed) with a tempo-responsive model (all parameters updated), we find nearly identical fit (median absolute percentage error 4.5% versus 4.6%). This near-equivalence is itself the key insight: the standard period total fertility rate (TFR) mechanically absorbs the depression caused by rising MAC, conflating quantum decline with postponement. Policymakers who rely on period TFR cannot distinguish between fewer births and delayed births.</w:t>
      </w:r>
    </w:p>
    <w:p>
      <w:pPr>
        <w:spacing w:after="240"/>
      </w:pPr>
      <w:r>
        <w:rPr>
          <w:b w:val="0"/>
          <w:i w:val="0"/>
          <w:sz w:val="24"/>
        </w:rPr>
        <w:t>Second, we show that explicit tempo decomposition restores visibility. Using the Bongaarts–Feeney tempo-adjusted TFR (TFR*), which strips the timing distortion from period TFR, we achieve the best overall fit (median absolute percentage error 4.3%), with the largest improvements in countries experiencing strong postponement: the Republic of Korea, China, and Colombia. Where TFR* does not improve fit (e.g., France, Japan), the implication is that the TFR decline was predominantly quantum—itself a policy-relevant distinction.</w:t>
      </w:r>
    </w:p>
    <w:p>
      <w:pPr>
        <w:spacing w:after="240"/>
      </w:pPr>
      <w:r>
        <w:rPr>
          <w:b w:val="0"/>
          <w:i w:val="0"/>
          <w:sz w:val="24"/>
        </w:rPr>
        <w:t>Third, using a parsimonious endogenous renewal model validated against United Nations World Population Prospects 2024 data for 40 countries (38 Organisation for Economic Co-operation and Development members, China, the Democratic Republic of the Congo) over 1970–2023, we find that the observed 4–6 year rise in MAC independently reduced the simultaneously living population (SLP) by 8–17%—equivalent to 15–40 years of below-replacement fertility. Fourth, we decompose population change into quantum, tempo, and survival components, showing that tempo is typically the second-largest contributor in post-transitional countries.</w:t>
      </w:r>
    </w:p>
    <w:p>
      <w:pPr>
        <w:spacing w:after="240"/>
      </w:pPr>
      <w:r>
        <w:rPr>
          <w:b w:val="0"/>
          <w:i w:val="0"/>
          <w:sz w:val="24"/>
        </w:rPr>
        <w:t>Fifth, we demonstrate that higher MAC accelerates the annual pace of population decline. This has a direct policy implication: the demographic response to population decline should not be framed as a binary choice between ‘more births’ and ‘more immigration.’ Birth timing constitutes a third, independent, and actionable policy lever. Tempo-sensitive interventions—affordable housing for young families, universal childcare, educational pathways that do not penalise early parenthood—could slow the pace of population decline and expand the window for institutional adaptation, without requiring increases in either fertility quantum or immigration. A bibliometric analysis of PubMed and a review of 15 national projection systems confirm that this tempo channel is currently absent from both the scholarly conversation and official demographic assessments.</w:t>
      </w:r>
    </w:p>
    <w:p>
      <w:pPr>
        <w:spacing w:after="240"/>
      </w:pPr>
      <w:r>
        <w:rPr>
          <w:b w:val="0"/>
          <w:i w:val="0"/>
          <w:sz w:val="24"/>
        </w:rPr>
        <w:t>We believe Population Studies is the ideal venue for this work. The journal’s long tradition of publishing foundational contributions on fertility tempo and formal demography—including the Bongaarts–Feeney framework and related work on demographic translation—means that the readership is uniquely positioned to evaluate and build upon our findings. Our argument that population policy requires a third lever, alongside quantum and survival, speaks directly to the journal’s core audience of researchers and policymakers engaged with population dynamics.</w:t>
      </w:r>
    </w:p>
    <w:p>
      <w:pPr>
        <w:spacing w:after="240"/>
      </w:pPr>
      <w:r>
        <w:rPr>
          <w:b w:val="0"/>
          <w:i w:val="0"/>
          <w:sz w:val="24"/>
        </w:rPr>
        <w:t>The manuscript has not been published elsewhere and is not under consideration by any other journal. All authors have approved the manuscript and agree to its submission. The authors declare no conflicts of interest.</w:t>
      </w:r>
    </w:p>
    <w:p>
      <w:pPr>
        <w:spacing w:after="360"/>
      </w:pPr>
      <w:r>
        <w:rPr>
          <w:b w:val="0"/>
          <w:i w:val="0"/>
          <w:sz w:val="24"/>
        </w:rPr>
        <w:t>We look forward to your consideration.</w:t>
      </w:r>
    </w:p>
    <w:p>
      <w:pPr>
        <w:spacing w:after="120"/>
      </w:pPr>
      <w:r>
        <w:rPr>
          <w:b w:val="0"/>
          <w:i w:val="0"/>
          <w:sz w:val="24"/>
        </w:rPr>
        <w:t>Yours sincerely,</w:t>
      </w:r>
    </w:p>
    <w:p>
      <w:pPr>
        <w:spacing w:after="40"/>
      </w:pPr>
      <w:r>
        <w:rPr>
          <w:b w:val="0"/>
          <w:i w:val="0"/>
          <w:sz w:val="24"/>
        </w:rPr>
        <w:t>[Author name(s)]</w:t>
      </w:r>
    </w:p>
    <w:p>
      <w:pPr>
        <w:spacing w:after="40"/>
      </w:pPr>
      <w:r>
        <w:rPr>
          <w:b w:val="0"/>
          <w:i w:val="0"/>
          <w:sz w:val="24"/>
        </w:rPr>
        <w:t>[Institutional affiliation]</w:t>
      </w:r>
    </w:p>
    <w:p>
      <w:pPr>
        <w:spacing w:after="40"/>
      </w:pPr>
      <w:r>
        <w:rPr>
          <w:b w:val="0"/>
          <w:i w:val="0"/>
          <w:sz w:val="24"/>
        </w:rP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