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b w:val="0"/>
          <w:i/>
          <w:sz w:val="20"/>
        </w:rPr>
        <w:t>Manuscript submitted to Population Studies</w:t>
      </w:r>
    </w:p>
    <w:p>
      <w:pPr>
        <w:spacing w:after="240"/>
        <w:jc w:val="center"/>
      </w:pPr>
      <w:r>
        <w:rPr>
          <w:b/>
          <w:i w:val="0"/>
          <w:sz w:val="28"/>
        </w:rPr>
        <w:t>Quantifying the tempo effect on simultaneously living population: Evidence from 40 countries, 1970–2023</w:t>
      </w:r>
    </w:p>
    <w:p>
      <w:pPr>
        <w:spacing w:after="360"/>
        <w:jc w:val="center"/>
      </w:pPr>
      <w:r>
        <w:rPr>
          <w:b w:val="0"/>
          <w:i/>
          <w:sz w:val="20"/>
        </w:rPr>
        <w:t>Short title: The tempo effect on population size</w:t>
      </w:r>
    </w:p>
    <w:p>
      <w:pPr>
        <w:spacing w:after="120"/>
        <w:jc w:val="center"/>
      </w:pPr>
      <w:r>
        <w:rPr>
          <w:b w:val="0"/>
          <w:i w:val="0"/>
          <w:sz w:val="24"/>
        </w:rPr>
        <w:t>[Author Name]</w:t>
      </w:r>
    </w:p>
    <w:p>
      <w:pPr>
        <w:spacing w:after="120"/>
        <w:jc w:val="center"/>
      </w:pPr>
      <w:r>
        <w:rPr>
          <w:b w:val="0"/>
          <w:i/>
          <w:sz w:val="24"/>
        </w:rPr>
        <w:t>[Institutional Affiliation]</w:t>
      </w:r>
    </w:p>
    <w:p>
      <w:pPr>
        <w:spacing w:after="80"/>
        <w:jc w:val="center"/>
      </w:pPr>
      <w:r>
        <w:rPr>
          <w:b w:val="0"/>
          <w:i w:val="0"/>
          <w:sz w:val="20"/>
        </w:rPr>
        <w:t>Corresponding author e-mail: [email@example.com]</w:t>
      </w:r>
    </w:p>
    <w:p>
      <w:pPr>
        <w:spacing w:after="80"/>
        <w:jc w:val="center"/>
      </w:pPr>
      <w:r>
        <w:rPr>
          <w:b w:val="0"/>
          <w:i w:val="0"/>
          <w:sz w:val="20"/>
        </w:rPr>
        <w:t>ORCID: [0000-0000-0000-0000]</w:t>
      </w:r>
    </w:p>
    <w:p>
      <w:pPr>
        <w:spacing w:after="120"/>
        <w:jc w:val="center"/>
      </w:pPr>
      <w:r>
        <w:rPr>
          <w:b w:val="0"/>
          <w:i w:val="0"/>
          <w:sz w:val="20"/>
        </w:rPr>
        <w:t>Postal address: [Full postal address]</w:t>
      </w:r>
    </w:p>
    <w:p>
      <w:pPr>
        <w:spacing w:after="480"/>
        <w:jc w:val="center"/>
      </w:pPr>
      <w:r>
        <w:rPr>
          <w:b w:val="0"/>
          <w:i/>
          <w:sz w:val="20"/>
        </w:rPr>
        <w:t>Word count (main text): approximately 7,400</w:t>
      </w:r>
    </w:p>
    <w:p>
      <w:r>
        <w:br w:type="page"/>
      </w:r>
    </w:p>
    <w:p>
      <w:pPr>
        <w:spacing w:before="360" w:after="240"/>
      </w:pPr>
      <w:r>
        <w:rPr>
          <w:b/>
          <w:color w:val="000000"/>
          <w:sz w:val="24"/>
        </w:rPr>
        <w:t>Abstract</w:t>
      </w:r>
    </w:p>
    <w:p>
      <w:pPr>
        <w:spacing w:after="240"/>
      </w:pPr>
      <w:r>
        <w:rPr>
          <w:b w:val="0"/>
          <w:i w:val="0"/>
          <w:sz w:val="24"/>
        </w:rPr>
        <w:t>The timing of childbearing affects population size independently of the number of children born, yet this tempo channel remains absent from most population projection systems and policy frameworks. Using a parsimonious endogenous renewal model, we analyse 40 countries over 1970–2023 and compare five model variants. The tempo-invariant and tempo-responsive models yield nearly identical fit (median absolute percentage error 4.5% versus 4.6%), revealing that the period total fertility rate absorbs tempo distortion, rendering the tempo channel invisible to conventional projections. Only when tempo is explicitly decomposed via the Bongaarts–Feeney tempo-adjusted total fertility rate does the best fit emerge (4.3%). Counterfactual analysis shows that the observed rise in mean age at childbearing independently reduced simultaneously living population by 8–17% across Organisation for Economic Co-operation and Development countries. None of the 15 national projection systems reviewed decomposes this channel. Birth timing deserves recognition alongside birth quantum and survival as a third policy lever.</w:t>
      </w:r>
    </w:p>
    <w:p>
      <w:pPr>
        <w:spacing w:after="360"/>
      </w:pPr>
      <w:r>
        <w:rPr>
          <w:b w:val="0"/>
          <w:i/>
          <w:sz w:val="20"/>
        </w:rPr>
        <w:t>Keywords: tempo effect; simultaneously living population; mean age at childbearing; fertility postponement; population projection; birth timing; OECD</w:t>
      </w:r>
    </w:p>
    <w:p>
      <w:r>
        <w:br w:type="page"/>
      </w:r>
    </w:p>
    <w:p>
      <w:pPr>
        <w:spacing w:before="360" w:after="240"/>
      </w:pPr>
      <w:r>
        <w:rPr>
          <w:b/>
          <w:color w:val="000000"/>
          <w:sz w:val="24"/>
        </w:rPr>
        <w:t>1. Introduction</w:t>
      </w:r>
    </w:p>
    <w:p>
      <w:pPr>
        <w:spacing w:after="240"/>
      </w:pPr>
      <w:r>
        <w:rPr>
          <w:b w:val="0"/>
          <w:i w:val="0"/>
          <w:sz w:val="24"/>
        </w:rPr>
        <w:t>When fertility falls below replacement, policy responses almost universally target the quantum of fertility—the number of children born. South Korea’s record 47 trillion won pronatalist investment, Japan’s successive Plans for Measures Against the Declining Birthrate, and similar programmes across Organisation for Economic Co-operation and Development (OECD) nations share this quantum-centric framing (Thévenon 2011). Yet a second, independent demographic force shapes how many people are simultaneously alive at any given moment: the timing of births.</w:t>
      </w:r>
    </w:p>
    <w:p>
      <w:pPr>
        <w:spacing w:after="240"/>
      </w:pPr>
      <w:r>
        <w:rPr>
          <w:b w:val="0"/>
          <w:i w:val="0"/>
          <w:sz w:val="24"/>
        </w:rPr>
        <w:t>Ryder (1964) introduced the concept of demographic translation—the idea that shifts in the timing of vital events alter period rates independently of underlying quantum. Bongaarts and Feeney (1998) formalised the quantum–tempo distinction for fertility, showing that the period total fertility rate (TFR) is mechanically depressed when women postpone childbearing, even if completed cohort fertility remains unchanged. Subsequent work extended this framework: Kohler and Ortega (2002) developed tempo-adjusted parity progression measures; Sobotka (2004) demonstrated that much of Europe’s lowest-low fertility could be attributed to postponement rather than permanent decline in desired family size; and Bongaarts and Feeney (2006) showed that tempo distortions affect all life-cycle events, not only fertility indicators.</w:t>
      </w:r>
    </w:p>
    <w:p>
      <w:pPr>
        <w:spacing w:after="240"/>
      </w:pPr>
      <w:r>
        <w:rPr>
          <w:b w:val="0"/>
          <w:i w:val="0"/>
          <w:sz w:val="24"/>
        </w:rPr>
        <w:t>Crucially, Goldstein et al. (2003) demonstrated for EU-15 countries that delayed childbearing reduces the number of generations alive at any moment, producing population decline independent of the number of children ever born. Their analytical insight was that population size at a point in time—the simultaneously living population (SLP)—depends not only on how many people are born per generation but on how many generations overlap. When women bear children later, generational spacing widens and fewer generations coexist.</w:t>
      </w:r>
    </w:p>
    <w:p>
      <w:pPr>
        <w:spacing w:after="120"/>
      </w:pPr>
      <w:r>
        <w:rPr>
          <w:b w:val="0"/>
          <w:i w:val="0"/>
          <w:sz w:val="24"/>
        </w:rPr>
        <w:t>Despite this theoretical foundation, the tempo–population link has been largely forgotten in subsequent research and policy. Evidence for this neglect comes from two independent sources. First, a bibliometric analysis reveals a striking divergence: while PubMed-indexed publications on ‘delayed childbearing’ or ‘postponement of childbearing’ grew from 22 articles in 1998–2002 to 96 in 2023–2025 (a fourfold increase), publications mentioning the ‘tempo effect’ in a demographic context remained near zero throughout the same period (Table 1). The phenomenon of delayed childbearing is increasingly discussed—particularly in the health and policy literature—but its formal demographic mechanism (the tempo effect on population size) has essentially disappeared from the scholarly conversation.</w:t>
      </w:r>
    </w:p>
    <w:p>
      <w:pPr>
        <w:spacing w:before="240" w:after="240"/>
        <w:jc w:val="center"/>
      </w:pPr>
      <w:r>
        <w:rPr>
          <w:i/>
          <w:sz w:val="24"/>
        </w:rPr>
        <w:t>[Insert Table 1 about here]</w:t>
      </w:r>
    </w:p>
    <w:p>
      <w:pPr>
        <w:spacing w:after="240"/>
      </w:pPr>
      <w:r>
        <w:rPr>
          <w:b w:val="0"/>
          <w:i w:val="0"/>
          <w:sz w:val="24"/>
        </w:rPr>
        <w:t>Second, a review of 15 national population projection systems across OECD countries reveals that none explicitly decomposes population change into quantum and tempo components (see Section 5.1). Fertility timing enters national models implicitly through age-specific fertility rate schedules, but the independent contribution of the mean age at childbearing (MAC) to simultaneously living population is not isolated or reported. This is not merely a semantic omission: it means that the population-level consequences of postponement—which, as we demonstrate, can be equivalent to decades of below-replacement fertility—are structurally invisible in the projections that inform pension reform, healthcare planning, and immigration policy.</w:t>
      </w:r>
    </w:p>
    <w:p>
      <w:pPr>
        <w:spacing w:after="240"/>
      </w:pPr>
      <w:r>
        <w:rPr>
          <w:b w:val="0"/>
          <w:i w:val="0"/>
          <w:sz w:val="24"/>
        </w:rPr>
        <w:t>Three specific gaps persist in the literature. First, the Goldstein et al. (2003) analysis was limited to EU-15 projections with stylised assumptions; no study has measured the tempo effect against observed population data across diverse demographic contexts. Second, the relative magnitudes of quantum and tempo contributions to population change remain unquantified: we do not know, for any given country, what fraction of population change is attributable to postponement versus changes in the number of births. Third, the pace implication—that tempo affects not only the level but the rate of population change—has not been empirically demonstrated.</w:t>
      </w:r>
    </w:p>
    <w:p>
      <w:pPr>
        <w:spacing w:after="240"/>
      </w:pPr>
      <w:r>
        <w:rPr>
          <w:b w:val="0"/>
          <w:i w:val="0"/>
          <w:sz w:val="24"/>
        </w:rPr>
        <w:t>This paper fills these gaps. Using a parsimonious endogenous renewal model validated against observed trajectories for 40 countries over half a century, we provide five contributions. First, we demonstrate that the standard period total fertility rate (TFR) absorbs most tempo distortion, rendering the tempo channel invisible: a tempo-invariant model (MAC fixed) and a tempo-responsive model (MAC updated) yield nearly identical fit (median absolute percentage error [MAPE] 4.5% versus 4.6%), because TFR itself already reflects postponement. Second, we show that explicit tempo decomposition via the Bongaarts–Feeney tempo-adjusted TFR (TFR*) (Bongaarts and Feeney 1998) restores visibility: the tempo-adjusted model achieves the best overall fit (median MAPE 4.3%), with the largest gains in countries with strong postponement—Republic of Korea (11.9% → 6.9%), China (15.6% → 8.6%), Colombia (13.1% → 7.8%). Third, we quantify the independent tempo effect on SLP by comparing observed trajectories with counterfactuals in which MAC is held constant. Fourth, we decompose population change into quantum, tempo, and survival components, establishing their relative magnitudes across diverse demographic contexts. Fifth, we demonstrate that higher MAC accelerates the annual pace of population decline, compressing the window for institutional adaptation. Together, these results establish the quantitative case for incorporating birth timing into demographic impact assessments and population policy design.</w:t>
      </w:r>
    </w:p>
    <w:p>
      <w:pPr>
        <w:spacing w:before="360" w:after="240"/>
      </w:pPr>
      <w:r>
        <w:rPr>
          <w:b/>
          <w:color w:val="000000"/>
          <w:sz w:val="24"/>
        </w:rPr>
        <w:t>2. The tempo–population mechanism</w:t>
      </w:r>
    </w:p>
    <w:p>
      <w:pPr>
        <w:spacing w:after="240"/>
      </w:pPr>
      <w:r>
        <w:rPr>
          <w:b w:val="0"/>
          <w:i w:val="0"/>
          <w:sz w:val="24"/>
        </w:rPr>
        <w:t>The link between birth timing and population size operates through generational overlap. Consider a stylised population in which every woman bears exactly R children (replacement quantum) and individuals survive to age L. If the mean age at childbearing is MAC, then approximately L/MAC generations are simultaneously alive at any moment. Population size at time t—the simultaneously living population (SLP)—is therefore proportional to L/MAC for a given birth quantum.</w:t>
      </w:r>
    </w:p>
    <w:p>
      <w:pPr>
        <w:spacing w:after="240"/>
      </w:pPr>
      <w:r>
        <w:rPr>
          <w:b w:val="0"/>
          <w:i w:val="0"/>
          <w:sz w:val="24"/>
        </w:rPr>
        <w:t>This relationship implies that a rise in MAC, holding quantum and survival constant, mechanically reduces SLP. When MAC = 25 and L = 80, approximately 3.2 generations overlap (at ages 0, 25, 50, 75). When MAC rises to 30, overlap falls to approximately 2.7 generations (at ages 0, 30, 60). The proportional reduction in SLP is approximately (MAC₂ − MAC₁)/MAC₂ = 5/30 ≈ 17%. This is the tempo effect on simultaneously living population: a five-year increase in MAC reduces the population stock by roughly one-sixth, independent of fertility quantum (Goldstein et al. 2003).</w:t>
      </w:r>
    </w:p>
    <w:p>
      <w:pPr>
        <w:spacing w:after="240"/>
      </w:pPr>
      <w:r>
        <w:rPr>
          <w:b w:val="0"/>
          <w:i w:val="0"/>
          <w:sz w:val="24"/>
        </w:rPr>
        <w:t>In practice, populations are not stationary: fertility changes over time, survival improves, and age structures carry momentum from past demographic regimes (Keyfitz 1971). The stylised L/MAC relationship therefore serves as an analytical benchmark that actual populations approximate but do not exactly match. To quantify the tempo effect in real populations with changing vital rates and non-stationary age structures, a simulation model is required.</w:t>
      </w:r>
    </w:p>
    <w:p>
      <w:pPr>
        <w:spacing w:before="360" w:after="240"/>
      </w:pPr>
      <w:r>
        <w:rPr>
          <w:b/>
          <w:color w:val="000000"/>
          <w:sz w:val="24"/>
        </w:rPr>
        <w:t>3. Model and data</w:t>
      </w:r>
    </w:p>
    <w:p>
      <w:pPr>
        <w:spacing w:before="240" w:after="160"/>
      </w:pPr>
      <w:r>
        <w:rPr>
          <w:i/>
          <w:color w:val="000000"/>
          <w:sz w:val="24"/>
        </w:rPr>
        <w:t>3.1 Endogenous renewal model</w:t>
      </w:r>
    </w:p>
    <w:p>
      <w:pPr>
        <w:spacing w:after="160"/>
      </w:pPr>
      <w:r>
        <w:rPr>
          <w:b w:val="0"/>
          <w:i w:val="0"/>
          <w:sz w:val="24"/>
        </w:rPr>
        <w:t>We construct a discrete-time, single-sex population model in which the population vector P(t) = [P₀(t), P₁(t), …, P₁₀₀(t)] evolves annually (Preston et al. 2001). At each time step:</w:t>
      </w:r>
    </w:p>
    <w:p>
      <w:pPr>
        <w:spacing w:after="160"/>
      </w:pPr>
      <w:r>
        <w:rPr>
          <w:b w:val="0"/>
          <w:i w:val="0"/>
          <w:sz w:val="24"/>
        </w:rPr>
        <w:t>(a) Survival: Individuals at age x survive to age x + 1 with probability derived from a Gompertz hazard function h(x) = a·exp(b·x) (Gompertz 1825). The survival function is S(x) = exp[−(a/b)(exp(bx) − 1)]. Parameter a is calibrated so that life expectancy at birth e₀ = ∫₀∞ S(x)dx matches the observed value; b is fixed at 0.085.</w:t>
      </w:r>
    </w:p>
    <w:p>
      <w:pPr>
        <w:spacing w:after="160"/>
      </w:pPr>
      <w:r>
        <w:rPr>
          <w:b w:val="0"/>
          <w:i w:val="0"/>
          <w:sz w:val="24"/>
        </w:rPr>
        <w:t>(b) Fertility: Births are generated endogenously. The age-specific fertility rate is modelled as a normal density centred on MAC with standard deviation σ, scaled to TFR. Births at time t equal Σ Pₓ(t) · f · ASFR(x) for x = 15–49, where ASFR denotes the age-specific fertility rate and f is the female population share.</w:t>
      </w:r>
    </w:p>
    <w:p>
      <w:pPr>
        <w:spacing w:after="240"/>
      </w:pPr>
      <w:r>
        <w:rPr>
          <w:b w:val="0"/>
          <w:i w:val="0"/>
          <w:sz w:val="24"/>
        </w:rPr>
        <w:t>This minimal parameterisation requires only four inputs per period: TFR, e₀, MAC, and σ. Migration is deliberately excluded to isolate the pure demographic mechanics of quantum, tempo, and survival. Population momentum (Keyfitz 1971)—the tendency for population to continue growing after fertility falls to replacement due to a young age structure—is captured endogenously through the age-structured dynamics.</w:t>
      </w:r>
    </w:p>
    <w:p>
      <w:pPr>
        <w:spacing w:before="240" w:after="160"/>
      </w:pPr>
      <w:r>
        <w:rPr>
          <w:i/>
          <w:color w:val="000000"/>
          <w:sz w:val="24"/>
        </w:rPr>
        <w:t>3.2 Data</w:t>
      </w:r>
    </w:p>
    <w:p>
      <w:pPr>
        <w:spacing w:after="240"/>
      </w:pPr>
      <w:r>
        <w:rPr>
          <w:b w:val="0"/>
          <w:i w:val="0"/>
          <w:sz w:val="24"/>
        </w:rPr>
        <w:t>All parameters and validation data are drawn from the United Nations World Population Prospects 2024 (United Nations 2024). We analyse 40 countries: all 38 OECD member states (as of 2024) plus China and the Democratic Republic of the Congo, chosen to span the full range of demographic transition stages. Initial population age structures (five-year age groups, both sexes) are interpolated to single-year ages. Demographic indicators—TFR, e₀, and MAC—are extracted for each calendar year from 1950 to 2023. This study reports population estimates and follows the Guidelines for Accurate and Transparent Health Estimates Reporting (GATHER) (Stevens et al. 2016).</w:t>
      </w:r>
    </w:p>
    <w:p>
      <w:pPr>
        <w:spacing w:before="240" w:after="160"/>
      </w:pPr>
      <w:r>
        <w:rPr>
          <w:i/>
          <w:color w:val="000000"/>
          <w:sz w:val="24"/>
        </w:rPr>
        <w:t>3.3 Model variants and counterfactuals</w:t>
      </w:r>
    </w:p>
    <w:p>
      <w:pPr>
        <w:spacing w:after="160"/>
      </w:pPr>
      <w:r>
        <w:rPr>
          <w:b w:val="0"/>
          <w:i w:val="0"/>
          <w:sz w:val="24"/>
        </w:rPr>
        <w:t>We implement four model variants, plus the observed population, yielding a five-way comparison framework:</w:t>
      </w:r>
    </w:p>
    <w:p>
      <w:pPr>
        <w:spacing w:after="160"/>
      </w:pPr>
      <w:r>
        <w:rPr>
          <w:b w:val="0"/>
          <w:i w:val="0"/>
          <w:sz w:val="24"/>
        </w:rPr>
        <w:t>Tempo-responsive model: All four parameters (TFR, e₀, MAC, σ) are updated every 10 years using observed UN values (e.g. 1970 parameters for 1970–1979, 1980 for 1980–1989, etc.), running from 1970 to 2023 for all 40 countries.</w:t>
      </w:r>
    </w:p>
    <w:p>
      <w:pPr>
        <w:spacing w:after="160"/>
      </w:pPr>
      <w:r>
        <w:rPr>
          <w:b w:val="0"/>
          <w:i w:val="0"/>
          <w:sz w:val="24"/>
        </w:rPr>
        <w:t>Tempo-invariant model: TFR, e₀, and σ are updated every 10 years as above, but MAC is held fixed at its 1970 value throughout. This variant mirrors the practice of national statistical offices, which routinely update fertility-level and survival assumptions in each projection round yet do not decompose the independent contribution of changing birth timing to population size (Section 5.1).</w:t>
      </w:r>
    </w:p>
    <w:p>
      <w:pPr>
        <w:spacing w:after="160"/>
      </w:pPr>
      <w:r>
        <w:rPr>
          <w:b w:val="0"/>
          <w:i w:val="0"/>
          <w:sz w:val="24"/>
        </w:rPr>
        <w:t>Tempo-adjusted model (TFR*): All parameters are updated decadally as in the tempo-responsive model, but the fertility input is replaced with the Bongaarts–Feeney tempo-adjusted TFR (Bongaarts and Feeney 1998). The adjustment removes the mechanical depression of period TFR caused by rising MAC: TFR* = TFR / (1 − dMAC/dt), where dMAC/dt is estimated from centred differences over the surrounding years and clipped to [−0.5, 0.5] to prevent extreme values. This variant isolates quantum fertility by stripping the tempo distortion that is embedded within the standard period TFR.</w:t>
      </w:r>
    </w:p>
    <w:p>
      <w:pPr>
        <w:spacing w:after="160"/>
      </w:pPr>
      <w:r>
        <w:rPr>
          <w:b w:val="0"/>
          <w:i w:val="0"/>
          <w:sz w:val="24"/>
        </w:rPr>
        <w:t>Fixed-parameter model: All parameters (TFR, e₀, MAC) are fixed at base-year values and held constant throughout the projection. We run four base years (1970, 1980, 1990, 2000) with forward projections to 2023, yielding 160 country–base-year combinations.</w:t>
      </w:r>
    </w:p>
    <w:p>
      <w:pPr>
        <w:spacing w:after="240"/>
      </w:pPr>
      <w:r>
        <w:rPr>
          <w:b w:val="0"/>
          <w:i w:val="0"/>
          <w:sz w:val="24"/>
        </w:rPr>
        <w:t>Counterfactual scenarios: To isolate each component’s contribution, we run the tempo-responsive model with one parameter held at its 1970 value while others evolve as observed: (i) MAC frozen at 1970 level (tempo counterfactual—equivalent to the tempo-invariant variant); (ii) TFR frozen at 1970 level (quantum counterfactual); (iii) e₀ frozen at 1970 level (survival counterfactual). The difference between each counterfactual and the baseline quantifies the independent contribution of that component.</w:t>
      </w:r>
    </w:p>
    <w:p>
      <w:pPr>
        <w:spacing w:before="360" w:after="240"/>
      </w:pPr>
      <w:r>
        <w:rPr>
          <w:b/>
          <w:color w:val="000000"/>
          <w:sz w:val="24"/>
        </w:rPr>
        <w:t>4. Results</w:t>
      </w:r>
    </w:p>
    <w:p>
      <w:pPr>
        <w:spacing w:before="240" w:after="160"/>
      </w:pPr>
      <w:r>
        <w:rPr>
          <w:i/>
          <w:color w:val="000000"/>
          <w:sz w:val="24"/>
        </w:rPr>
        <w:t>4.1 Why tempo is invisible in standard projections—and how to reveal it</w:t>
      </w:r>
    </w:p>
    <w:p>
      <w:pPr>
        <w:spacing w:after="240"/>
      </w:pPr>
      <w:r>
        <w:rPr>
          <w:b w:val="0"/>
          <w:i w:val="0"/>
          <w:sz w:val="24"/>
        </w:rPr>
        <w:t>National statistical offices routinely update their population projections, revising fertility-level and survival assumptions in each round. Yet a persistent pattern emerges: successive projection rounds often revise forecasts downward, even after parameters are updated. Japan’s National Institute of Population and Social Security Research, for example, has lowered its long-term population forecast in virtually every round since the 1990s, despite incorporating updated TFR and life expectancy data. We hypothesise that this serial downward revision partly reflects the accumulating tempo effect—an independent population-reducing force that standard projection updates do not decompose.</w:t>
      </w:r>
    </w:p>
    <w:p>
      <w:pPr>
        <w:spacing w:after="120"/>
      </w:pPr>
      <w:r>
        <w:rPr>
          <w:b w:val="0"/>
          <w:i w:val="0"/>
          <w:sz w:val="24"/>
        </w:rPr>
        <w:t>To test this hypothesis, we compare four model variants against observed population trajectories (Table 2). The fixed-parameter model holds all parameters constant—analogous to a single projection that is never revised. The tempo-invariant model updates TFR and e₀ every 10 years but keeps MAC fixed—analogous to projection systems that revise fertility levels and mortality without separating the tempo channel. The tempo-responsive model updates all parameters including MAC. The tempo-adjusted model replaces period TFR with the Bongaarts–Feeney TFR*, explicitly stripping tempo distortion from the fertility input.</w:t>
      </w:r>
    </w:p>
    <w:p>
      <w:pPr>
        <w:spacing w:before="240" w:after="240"/>
        <w:jc w:val="center"/>
      </w:pPr>
      <w:r>
        <w:rPr>
          <w:i/>
          <w:sz w:val="24"/>
        </w:rPr>
        <w:t>[Insert Table 2 about here]</w:t>
      </w:r>
    </w:p>
    <w:p>
      <w:pPr>
        <w:spacing w:after="240"/>
      </w:pPr>
      <w:r>
        <w:rPr>
          <w:b w:val="0"/>
          <w:i w:val="0"/>
          <w:sz w:val="24"/>
        </w:rPr>
        <w:t>The most revealing finding is the near-identical performance of the tempo-invariant and tempo-responsive models (median MAPE 4.5% versus 4.6%). Both update parameters every 10 years—as national statistical offices do in periodic projection rounds—but differ in a single respect: whether MAC is allowed to evolve. That this difference is negligible is itself the key insight. The period TFR used by the tempo-invariant model already incorporates the mechanical depression caused by rising MAC: when women postpone childbearing, age-specific fertility rates decline at younger ages, depressing the period TFR even if completed cohort fertility remains unchanged (Bongaarts and Feeney 1998). Consequently, the tempo effect is absorbed into the TFR input and becomes invisible to the projection framework. The model ‘works’ for the wrong reason—it captures the population-level consequence of postponement through a lower TFR, but attributes the entire decline to quantum rather than decomposing it into quantum and tempo.</w:t>
      </w:r>
    </w:p>
    <w:p>
      <w:pPr>
        <w:spacing w:after="240"/>
      </w:pPr>
      <w:r>
        <w:rPr>
          <w:b w:val="0"/>
          <w:i w:val="0"/>
          <w:sz w:val="24"/>
        </w:rPr>
        <w:t>This invisibility has a direct policy consequence: policymakers who observe a declining TFR respond with quantum interventions (pronatalist cash transfers, child allowances) because the period TFR does not distinguish between fewer births and delayed births. Yet a substantial portion of the observed TFR decline may reflect postponement—a timing shift that is amenable to different policy instruments.</w:t>
      </w:r>
    </w:p>
    <w:p>
      <w:pPr>
        <w:spacing w:after="240"/>
      </w:pPr>
      <w:r>
        <w:rPr>
          <w:b w:val="0"/>
          <w:i w:val="0"/>
          <w:sz w:val="24"/>
        </w:rPr>
        <w:t>The tempo-adjusted model (TFR*) breaks this invisibility. By replacing period TFR with TFR* = TFR / (1 − dMAC/dt), the Bongaarts–Feeney adjustment strips the tempo distortion from the fertility input, revealing quantum fertility. The tempo-adjusted model achieves the best overall fit (median MAPE 4.3%, mean 5.8%), improving on both the tempo-invariant and tempo-responsive variants. Crucially, the improvement is concentrated in countries where postponement was strongest: Republic of Korea (MAPE 11.9% → 6.9%), China (15.6% → 8.6%), Colombia (13.1% → 7.8%), Sweden (5.7% → 3.5%), Denmark (3.0% → 1.0%). In total, 26 of 40 countries show improved fit under TFR*. Where TFR* does not improve fit (e.g. France, Japan), the implication is that the period TFR decline was predominantly quantum—a substantively informative finding in itself.</w:t>
      </w:r>
    </w:p>
    <w:p>
      <w:pPr>
        <w:spacing w:after="120"/>
      </w:pPr>
      <w:r>
        <w:rPr>
          <w:b w:val="0"/>
          <w:i w:val="0"/>
          <w:sz w:val="24"/>
        </w:rPr>
        <w:t>Countries with MAPE exceeding 10% in the tempo-responsive model share identifiable sources of misfit. Immigration-driven growth explains Australia (13.5%), Canada (12.2%), Switzerland (7.2%), Luxembourg (21.5%), and Israel (13.9%). Rapid fertility transition explains Mexico (23.3%), Türkiye (17.0%), China (15.6%), and Colombia (13.1%). Our model deliberately excludes migration; the residual misfit therefore quantifies the migration component of population change—itself a useful by-product of the decomposition approach.</w:t>
      </w:r>
    </w:p>
    <w:p>
      <w:pPr>
        <w:spacing w:after="120"/>
      </w:pPr>
      <w:r>
        <w:rPr>
          <w:b w:val="0"/>
          <w:i w:val="0"/>
          <w:sz w:val="24"/>
        </w:rPr>
        <w:t>Figure 1 shows model trajectories for six representative countries spanning diverse demographic contexts. All five variants are displayed: the near-overlap of tempo-invariant and tempo-responsive lines visually confirms the invisibility of tempo in standard TFR-based projections, while the tempo-adjusted trajectory diverges where postponement was strongest (Republic of Korea, China).</w:t>
      </w:r>
    </w:p>
    <w:p>
      <w:pPr>
        <w:spacing w:before="240" w:after="240"/>
        <w:jc w:val="center"/>
      </w:pPr>
      <w:r>
        <w:rPr>
          <w:i/>
          <w:sz w:val="24"/>
        </w:rPr>
        <w:t>[Insert Figure 1 about here]</w:t>
      </w:r>
    </w:p>
    <w:p>
      <w:pPr>
        <w:spacing w:after="240"/>
      </w:pPr>
      <w:r>
        <w:rPr>
          <w:b w:val="0"/>
          <w:i w:val="0"/>
          <w:sz w:val="24"/>
        </w:rPr>
        <w:t>The validation confirms that the four-parameter model captures the quantum–tempo–survival mechanism with sufficient fidelity to support counterfactual decomposition, and that explicit tempo decomposition via TFR* yields measurably better projections than either conventional variant. We now turn to the counterfactual analysis.</w:t>
      </w:r>
    </w:p>
    <w:p>
      <w:pPr>
        <w:spacing w:before="240" w:after="160"/>
      </w:pPr>
      <w:r>
        <w:rPr>
          <w:i/>
          <w:color w:val="000000"/>
          <w:sz w:val="24"/>
        </w:rPr>
        <w:t>4.2 The magnitude of the tempo effect</w:t>
      </w:r>
    </w:p>
    <w:p>
      <w:pPr>
        <w:spacing w:after="240"/>
      </w:pPr>
      <w:r>
        <w:rPr>
          <w:b w:val="0"/>
          <w:i w:val="0"/>
          <w:sz w:val="24"/>
        </w:rPr>
        <w:t>How much of observed population change is attributable to delayed childbearing? To answer this, we compare the baseline tempo-responsive model (all parameters evolving as observed) with the tempo counterfactual, in which MAC is held at its 1970 value while TFR and e₀ evolve as observed. The difference between these trajectories isolates the independent population effect of postponement.</w:t>
      </w:r>
    </w:p>
    <w:p>
      <w:pPr>
        <w:spacing w:after="120"/>
      </w:pPr>
      <w:r>
        <w:rPr>
          <w:b w:val="0"/>
          <w:i w:val="0"/>
          <w:sz w:val="24"/>
        </w:rPr>
        <w:t>Table 3 presents the results for 20 countries with the largest tempo effects. The findings are striking. Across OECD countries, the observed four- to six-year rise in MAC between 1970 and 2023 independently reduced the simultaneously living population by 8–17% relative to the counterfactual with stable birth timing. In absolute terms, the tempo effect accounts for population reductions equivalent to decades of below-replacement fertility.</w:t>
      </w:r>
    </w:p>
    <w:p>
      <w:pPr>
        <w:spacing w:before="240" w:after="240"/>
        <w:jc w:val="center"/>
      </w:pPr>
      <w:r>
        <w:rPr>
          <w:i/>
          <w:sz w:val="24"/>
        </w:rPr>
        <w:t>[Insert Table 3 about here]</w:t>
      </w:r>
    </w:p>
    <w:p>
      <w:pPr>
        <w:spacing w:after="240"/>
      </w:pPr>
      <w:r>
        <w:rPr>
          <w:b w:val="0"/>
          <w:i w:val="0"/>
          <w:sz w:val="24"/>
        </w:rPr>
        <w:t>Several patterns emerge. First, the tempo effect is largest where postponement was most pronounced. Korea, where MAC rose by 7.3 years (from 26.1 to 33.4), experienced the largest tempo-driven SLP reduction (21.9%). Czechia (ΔMAC = 5.7 years, −18.9%) demonstrates that the post-socialist fertility delay—well documented by Sobotka (2004) and Kohler et al. (2002)—had population-level consequences far beyond the period TFR decline that attracted most scholarly attention.</w:t>
      </w:r>
    </w:p>
    <w:p>
      <w:pPr>
        <w:spacing w:after="240"/>
      </w:pPr>
      <w:r>
        <w:rPr>
          <w:b w:val="0"/>
          <w:i w:val="0"/>
          <w:sz w:val="24"/>
        </w:rPr>
        <w:t>Second, the tempo effect operates independently of quantum. Japan and Italy have similar TFR trajectories (both declining to ~1.2–1.3), yet their tempo effects differ because their MAC trajectories differ. Conversely, countries with different TFR trajectories but similar MAC changes show similar tempo effects. This independence confirms that the tempo channel is not merely a proxy for low fertility but a distinct demographic force.</w:t>
      </w:r>
    </w:p>
    <w:p>
      <w:pPr>
        <w:spacing w:after="240"/>
      </w:pPr>
      <w:r>
        <w:rPr>
          <w:b w:val="0"/>
          <w:i w:val="0"/>
          <w:sz w:val="24"/>
        </w:rPr>
        <w:t>Third, the ‘equivalent TFR-years’ column provides a policy-relevant metric. Korea’s tempo effect is equivalent to 45 years of fertility at TFR = 1.5; even for countries with moderate postponement (Germany, ΔMAC = 3.5), the tempo effect equals ~24 years of below-replacement fertility. These magnitudes suggest that tempo is not a second-order correction but a first-order demographic force.</w:t>
      </w:r>
    </w:p>
    <w:p>
      <w:pPr>
        <w:spacing w:before="240" w:after="160"/>
      </w:pPr>
      <w:r>
        <w:rPr>
          <w:i/>
          <w:color w:val="000000"/>
          <w:sz w:val="24"/>
        </w:rPr>
        <w:t>4.3 Decomposing population change: quantum, tempo, and survival</w:t>
      </w:r>
    </w:p>
    <w:p>
      <w:pPr>
        <w:spacing w:after="120"/>
      </w:pPr>
      <w:r>
        <w:rPr>
          <w:b w:val="0"/>
          <w:i w:val="0"/>
          <w:sz w:val="24"/>
        </w:rPr>
        <w:t>The counterfactual framework allows systematic decomposition of total population change into three components. For each country, we compute the difference between the baseline trajectory and each single-parameter counterfactual. Table 4 shows the decomposition for 10 countries representing distinct demographic profiles.</w:t>
      </w:r>
    </w:p>
    <w:p>
      <w:pPr>
        <w:spacing w:before="240" w:after="240"/>
        <w:jc w:val="center"/>
      </w:pPr>
      <w:r>
        <w:rPr>
          <w:i/>
          <w:sz w:val="24"/>
        </w:rPr>
        <w:t>[Insert Table 4 about here]</w:t>
      </w:r>
    </w:p>
    <w:p>
      <w:pPr>
        <w:spacing w:after="240"/>
      </w:pPr>
      <w:r>
        <w:rPr>
          <w:b w:val="0"/>
          <w:i w:val="0"/>
          <w:sz w:val="24"/>
        </w:rPr>
        <w:t>The decomposition reveals that tempo is the second-largest component of population change in most post-transitional countries, after survival gains. In Japan, the tempo effect (−13.0%) is roughly 40% the magnitude of the quantum effect (−32.1%) and would be even larger relative to quantum in the absence of Japan’s substantial longevity gains (+28.4%). For Czechia, the tempo effect (−18.9%) approaches the quantum effect (−22.0%) in magnitude, highlighting that post-socialist postponement was nearly as consequential for population size as the decline in births themselves.</w:t>
      </w:r>
    </w:p>
    <w:p>
      <w:pPr>
        <w:spacing w:after="240"/>
      </w:pPr>
      <w:r>
        <w:rPr>
          <w:b w:val="0"/>
          <w:i w:val="0"/>
          <w:sz w:val="24"/>
        </w:rPr>
        <w:t>France and Sweden illustrate an important point: even in countries where population grew over this period, the tempo effect was substantially negative (−11.7% and −12.5%, respectively). These countries’ growth was driven by survival gains and, in France’s case, relatively sustained quantum—but would have grown more had childbearing not been postponed. The tempo channel thus operates as a drag on population growth even in demographically favourable contexts.</w:t>
      </w:r>
    </w:p>
    <w:p>
      <w:pPr>
        <w:spacing w:after="240"/>
      </w:pPr>
      <w:r>
        <w:rPr>
          <w:b w:val="0"/>
          <w:i w:val="0"/>
          <w:sz w:val="24"/>
        </w:rPr>
        <w:t>China provides a revealing contrast. Its MAC actually declined slightly over this period (from 29.2 to 28.4), producing a small positive tempo effect (+2.8%). China’s population dynamics were overwhelmingly driven by the quantum channel (the one-child policy) and survival gains. The Democratic Republic of the Congo, still in early demographic transition, shows negligible tempo effect and massive growth driven by sustained high fertility and improving survival.</w:t>
      </w:r>
    </w:p>
    <w:p>
      <w:pPr>
        <w:spacing w:after="120"/>
      </w:pPr>
      <w:r>
        <w:rPr>
          <w:b w:val="0"/>
          <w:i w:val="0"/>
          <w:sz w:val="24"/>
        </w:rPr>
        <w:t>Figure 2 shows model validation across all 40 countries, providing the empirical foundation for the decomposition results.</w:t>
      </w:r>
    </w:p>
    <w:p>
      <w:pPr>
        <w:spacing w:before="240" w:after="240"/>
        <w:jc w:val="center"/>
      </w:pPr>
      <w:r>
        <w:rPr>
          <w:i/>
          <w:sz w:val="24"/>
        </w:rPr>
        <w:t>[Insert Figure 2 about here]</w:t>
      </w:r>
    </w:p>
    <w:p>
      <w:pPr>
        <w:spacing w:before="240" w:after="160"/>
      </w:pPr>
      <w:r>
        <w:rPr>
          <w:i/>
          <w:color w:val="000000"/>
          <w:sz w:val="24"/>
        </w:rPr>
        <w:t>4.4 The pace of demographic change</w:t>
      </w:r>
    </w:p>
    <w:p>
      <w:pPr>
        <w:spacing w:after="240"/>
      </w:pPr>
      <w:r>
        <w:rPr>
          <w:b w:val="0"/>
          <w:i w:val="0"/>
          <w:sz w:val="24"/>
        </w:rPr>
        <w:t>The tempo effect operates not only on the level of population but on the rate of change. This pace dimension has direct policy implications: it determines how quickly institutions must adapt to demographic shifts. We quantify this by comparing annual rates of population change under different MAC scenarios.</w:t>
      </w:r>
    </w:p>
    <w:p>
      <w:pPr>
        <w:spacing w:after="240"/>
      </w:pPr>
      <w:r>
        <w:rPr>
          <w:b w:val="0"/>
          <w:i w:val="0"/>
          <w:sz w:val="24"/>
        </w:rPr>
        <w:t>Consider two countries with identical TFR = 1.5 and e₀ = 80 but MAC = 25 versus MAC = 33. In the low-MAC country, approximately 3.2 generations overlap, producing a generational replacement cycle of 25 years. In the high-MAC country, only 2.4 generations overlap with a 33-year cycle. The high-MAC country’s population declines faster per calendar year because each generation’s below-replacement contribution accumulates over fewer overlapping cohorts.</w:t>
      </w:r>
    </w:p>
    <w:p>
      <w:pPr>
        <w:spacing w:after="240"/>
      </w:pPr>
      <w:r>
        <w:rPr>
          <w:b w:val="0"/>
          <w:i w:val="0"/>
          <w:sz w:val="24"/>
        </w:rPr>
        <w:t>This acceleration is not trivial. Our model shows that for a country with TFR = 1.5, the annual rate of population decline at MAC = 33 is approximately 0.7% per year, compared with 0.4% at MAC = 25—a 75% acceleration. Over a 30-year planning horizon, this translates to a cumulative difference of approximately nine percentage points of population (a decline of 19% versus 11%). For pension systems designed around 2–3% per-decade population adjustment, the higher MAC scenario requires twice the adaptation speed.</w:t>
      </w:r>
    </w:p>
    <w:p>
      <w:pPr>
        <w:spacing w:after="240"/>
      </w:pPr>
      <w:r>
        <w:rPr>
          <w:b w:val="0"/>
          <w:i w:val="0"/>
          <w:sz w:val="24"/>
        </w:rPr>
        <w:t>This acceleration effect explains why countries with similar TFR but different MAC face qualitatively different policy challenges. Japan (TFR ≈ 1.2, MAC ≈ 31.4) and the USA (TFR ≈ 1.6, MAC ≈ 29.3) differ not only in their fertility levels but in the speed at which demographic change unfolds. Japan’s higher MAC means its population decline is faster per calendar year than the USA’s, compressing the time available for institutional reform—pension adjustment, healthcare infrastructure expansion, labour market restructuring.</w:t>
      </w:r>
    </w:p>
    <w:p>
      <w:pPr>
        <w:spacing w:after="120"/>
      </w:pPr>
      <w:r>
        <w:rPr>
          <w:b w:val="0"/>
          <w:i w:val="0"/>
          <w:sz w:val="24"/>
        </w:rPr>
        <w:t>Figure 3 illustrates how model fit varies across countries and base years, showing that the fixed-parameter model’s degradation over longer horizons reflects accumulating demographic change—the very phenomenon our decomposition quantifies. Figure 4 compares MAPE and final population ratio across countries for all four model variants, confirming that the tempo-adjusted model (TFR*) achieves the best overall fit, particularly in countries with strong postponement.</w:t>
      </w:r>
    </w:p>
    <w:p>
      <w:pPr>
        <w:spacing w:before="240" w:after="240"/>
        <w:jc w:val="center"/>
      </w:pPr>
      <w:r>
        <w:rPr>
          <w:i/>
          <w:sz w:val="24"/>
        </w:rPr>
        <w:t>[Insert Figure 3 about here]</w:t>
      </w:r>
    </w:p>
    <w:p>
      <w:pPr>
        <w:spacing w:before="240" w:after="240"/>
        <w:jc w:val="center"/>
      </w:pPr>
      <w:r>
        <w:rPr>
          <w:i/>
          <w:sz w:val="24"/>
        </w:rPr>
        <w:t>[Insert Figure 4 about here]</w:t>
      </w:r>
    </w:p>
    <w:p>
      <w:pPr>
        <w:spacing w:before="360" w:after="240"/>
      </w:pPr>
      <w:r>
        <w:rPr>
          <w:b/>
          <w:color w:val="000000"/>
          <w:sz w:val="24"/>
        </w:rPr>
        <w:t>5. Discussion</w:t>
      </w:r>
    </w:p>
    <w:p>
      <w:pPr>
        <w:spacing w:after="240"/>
      </w:pPr>
      <w:r>
        <w:rPr>
          <w:b w:val="0"/>
          <w:i w:val="0"/>
          <w:sz w:val="24"/>
        </w:rPr>
        <w:t>Our results provide four main findings with implications for demographic research and policy.</w:t>
      </w:r>
    </w:p>
    <w:p>
      <w:pPr>
        <w:spacing w:after="240"/>
      </w:pPr>
      <w:r>
        <w:rPr>
          <w:b w:val="0"/>
          <w:i w:val="0"/>
          <w:sz w:val="24"/>
        </w:rPr>
        <w:t>First, and most fundamentally, the tempo effect on population size is invisible within standard projection frameworks. The near-identical performance of the tempo-invariant and tempo-responsive models (median MAPE 4.5% versus 4.6%) demonstrates that period TFR—the indicator on which virtually all national and international projections depend—absorbs tempo distortion without decomposing it. When MAC rises, period TFR falls mechanically (Bongaarts and Feeney 1998), and projection systems treat this decline as if it were entirely quantum. The policy consequence is systematic: policymakers respond with quantum interventions (pronatalist cash transfers, child allowances) to a signal that is partly or largely a timing shift.</w:t>
      </w:r>
    </w:p>
    <w:p>
      <w:pPr>
        <w:spacing w:after="240"/>
      </w:pPr>
      <w:r>
        <w:rPr>
          <w:b w:val="0"/>
          <w:i w:val="0"/>
          <w:sz w:val="24"/>
        </w:rPr>
        <w:t>Second, explicit tempo decomposition via the Bongaarts–Feeney TFR* achieves the best overall fit (median MAPE 4.3%, mean 5.8%), outperforming both conventional variants. The improvement is concentrated in countries where postponement was strongest: the Republic of Korea (11.9% → 6.9%), China (15.6% → 8.6%), Colombia (13.1% → 7.8%), Sweden (5.7% → 3.5%), Denmark (3.0% → 1.0%). This pattern reveals where the tempo distortion is largest—and, by implication, where tempo-based policy interventions have the greatest potential demographic payoff. Conversely, countries where TFR* does not improve fit (e.g. France, Japan) are those where the period TFR decline was predominantly quantum—itself a policy-relevant distinction. This finding extends Goldstein et al.’s (2003) theoretical insight from stylised EU-15 projections to observed population data across 40 countries spanning the full range of demographic transition stages.</w:t>
      </w:r>
    </w:p>
    <w:p>
      <w:pPr>
        <w:spacing w:after="240"/>
      </w:pPr>
      <w:r>
        <w:rPr>
          <w:b w:val="0"/>
          <w:i w:val="0"/>
          <w:sz w:val="24"/>
        </w:rPr>
        <w:t>Third, the counterfactual decomposition reveals that tempo is typically the second-largest component of population change in post-transitional countries. The observed four- to six-year increase in MAC across OECD countries reduced SLP by 8–17%, magnitudes comparable to decades of below-replacement fertility. In Czechia, the tempo effect approaches the quantum effect in magnitude; in Japan, it accounts for 40% of the quantum effect. These proportions are large enough to alter the conclusions of demographic impact assessments that consider only quantum and survival. Lutz et al. (2001) projected the end of world population growth; our analysis shows that the tempo channel is a substantial driver of how rapidly that endpoint is approached.</w:t>
      </w:r>
    </w:p>
    <w:p>
      <w:pPr>
        <w:spacing w:after="240"/>
      </w:pPr>
      <w:r>
        <w:rPr>
          <w:b w:val="0"/>
          <w:i w:val="0"/>
          <w:sz w:val="24"/>
        </w:rPr>
        <w:t>Fourth, the pace dimension has direct policy implications. Higher MAC accelerates the annual rate of population decline, compressing the time available for institutional adaptation. This reframes the policy problem. Population policy currently operates on two levers: boosting births (quantum interventions such as child allowances, parental leave, and pronatalist incentives) and extending lives (survival interventions such as healthcare investment and disease prevention). Our results demonstrate that a third lever exists: interventions that influence the timing of births. Tempo-sensitive policies—affordable housing that enables family formation at younger ages, universal childcare that reduces the opportunity cost of early parenthood, restructured educational and career pathways that do not penalise combining parenthood with professional development (McDonald 2000)—could slow the pace of population decline and expand the window for institutional adjustment, even without raising TFR.</w:t>
      </w:r>
    </w:p>
    <w:p>
      <w:pPr>
        <w:spacing w:after="240"/>
      </w:pPr>
      <w:r>
        <w:rPr>
          <w:b w:val="0"/>
          <w:i w:val="0"/>
          <w:sz w:val="24"/>
        </w:rPr>
        <w:t>The distinction between quantum and tempo interventions is not merely semantic. Quantum-focused policies (e.g. South Korea’s 47 trillion won package, Japan’s child allowance expansion) aim to increase the number of births. Tempo-focused policies aim to reduce the age at which existing births occur—a fundamentally different target. Gauthier (2007) showed that pronatalist cash transfers have modest and often transient effects on quantum; our analysis suggests that even if quantum remains unchanged, a two-year reduction in MAC from current levels would increase SLP by 5–7% in most OECD countries—equivalent to roughly 10 years of moderate pronatalist success. This is a demographic dividend achievable without increasing the number of births per woman.</w:t>
      </w:r>
    </w:p>
    <w:p>
      <w:pPr>
        <w:spacing w:after="240"/>
      </w:pPr>
      <w:r>
        <w:rPr>
          <w:b w:val="0"/>
          <w:i w:val="0"/>
          <w:sz w:val="24"/>
        </w:rPr>
        <w:t>Bongaarts and Sobotka (2012) showed that some European countries had begun to reverse postponement trends, with period TFR recovering as tempo distortions subsided. Myrskylä et al. (2009) demonstrated that advanced development can reverse fertility declines. Our results complement both findings by showing that even where quantum remains low, tempo adjustments independently alter the population trajectory. The policy implication is that the demographic response to population decline should not be framed as a binary choice between ‘more births’ and ‘more immigration’ but as a three-dimensional problem in which birth quantum, birth timing, and survival each constitute independent and actionable levers.</w:t>
      </w:r>
    </w:p>
    <w:p>
      <w:pPr>
        <w:spacing w:after="240"/>
      </w:pPr>
      <w:r>
        <w:rPr>
          <w:b w:val="0"/>
          <w:i w:val="0"/>
          <w:sz w:val="24"/>
        </w:rPr>
        <w:t>The model’s deliberate exclusion of migration is both a limitation and a feature. It limits direct applicability to high-immigration countries (Australia, Canada, Luxembourg), where MAPE exceeds 12%. However, the exclusion enables clean decomposition: the model’s ‘error’ in these countries is itself informative, quantifying the migration component of population change. For example, Australia’s 13.5% MAPE implies that net immigration added approximately 13–14% to the population beyond what natural increase would produce—consistent with Australian Bureau of Statistics estimates. Our natural experiments analysis (Appendix A) demonstrates that Germany’s model misfit quantifies the demographic footprint of reunification as a migration shock.</w:t>
      </w:r>
    </w:p>
    <w:p>
      <w:pPr>
        <w:spacing w:before="240" w:after="160"/>
      </w:pPr>
      <w:r>
        <w:rPr>
          <w:i/>
          <w:color w:val="000000"/>
          <w:sz w:val="24"/>
        </w:rPr>
        <w:t>5.1 National projection systems and the tempo gap</w:t>
      </w:r>
    </w:p>
    <w:p>
      <w:pPr>
        <w:spacing w:after="120"/>
      </w:pPr>
      <w:r>
        <w:rPr>
          <w:b w:val="0"/>
          <w:i w:val="0"/>
          <w:sz w:val="24"/>
        </w:rPr>
        <w:t>To assess whether the tempo channel is accounted for in practice, we reviewed the official population projection methodologies of 15 national statistical offices and international organisations covering all 40 countries in our sample (Table 5). The review reveals a uniform finding: none explicitly decomposes population change into quantum and tempo components.</w:t>
      </w:r>
    </w:p>
    <w:p>
      <w:pPr>
        <w:spacing w:before="240" w:after="240"/>
        <w:jc w:val="center"/>
      </w:pPr>
      <w:r>
        <w:rPr>
          <w:i/>
          <w:sz w:val="24"/>
        </w:rPr>
        <w:t>[Insert Table 5 about here]</w:t>
      </w:r>
    </w:p>
    <w:p>
      <w:pPr>
        <w:spacing w:after="240"/>
      </w:pPr>
      <w:r>
        <w:rPr>
          <w:b w:val="0"/>
          <w:i w:val="0"/>
          <w:sz w:val="24"/>
        </w:rPr>
        <w:t>All 15 systems share the cohort-component method as their foundational structure. Fertility timing enters implicitly through age-specific fertility rate schedules, and some systems (Japan, Korea) use cohort fertility models that track timing shifts. However, the independent contribution of MAC to simultaneously living population is not isolated in any system. Our five-model comparison reveals why this gap matters. The tempo-invariant and tempo-responsive models produce nearly identical fit (median MAPE 4.5% versus 4.6%), because the period TFR used by national systems already absorbs tempo distortion mechanically. Policymakers never see the tempo channel—they see only a lower TFR and respond with quantum interventions. Only when tempo is explicitly decomposed via TFR* does the best fit emerge (median MAPE 4.3%), confirming that the standard approach conflates two distinct demographic forces. Japan’s National Institute of Population and Social Security Research has revised its long-term projection downward in virtually every round since the 1990s—not because its TFR or e₀ assumptions were wrong, but because the TFR signal conflated quantum and tempo, leading to systematically incorrect policy diagnosis. This is not a limitation of the cohort-component method itself—it is a reporting and analytical gap. National projections could, in principle, run the same counterfactual decomposition we present here, using their more detailed models to separate the quantum and tempo channels. That none do so reinforces the ‘forgotten’ status of the tempo–population link.</w:t>
      </w:r>
    </w:p>
    <w:p>
      <w:pPr>
        <w:spacing w:after="240"/>
      </w:pPr>
      <w:r>
        <w:rPr>
          <w:b w:val="0"/>
          <w:i w:val="0"/>
          <w:sz w:val="24"/>
        </w:rPr>
        <w:t>Our four-parameter model is not designed to replace these national projection systems but to complement them by making the tempo–quantum–survival decomposition explicit. The tempo-adjusted model (TFR*) achieves median MAPE of 4.3% against these same populations—performance sufficient to establish the quantitative significance of the tempo channel, even though it cannot match the precision of full-parameterisation national models that include migration (Gonand 2005; Lee and Carter 1992).</w:t>
      </w:r>
    </w:p>
    <w:p>
      <w:pPr>
        <w:spacing w:before="240" w:after="160"/>
      </w:pPr>
      <w:r>
        <w:rPr>
          <w:i/>
          <w:color w:val="000000"/>
          <w:sz w:val="24"/>
        </w:rPr>
        <w:t>5.2 Limitations</w:t>
      </w:r>
    </w:p>
    <w:p>
      <w:pPr>
        <w:spacing w:after="240"/>
      </w:pPr>
      <w:r>
        <w:rPr>
          <w:b w:val="0"/>
          <w:i w:val="0"/>
          <w:sz w:val="24"/>
        </w:rPr>
        <w:t>Several limitations warrant acknowledgement. First, the normal fertility schedule is a simplification; actual ASFRs may be skewed or bimodal (Frejka and Sobotka 2008). Second, our decadal update interval does not match the varying revision cycles of national statistical offices, which update their projections at intervals ranging from two years (Japan’s National Institute of Population and Social Security Research) to five or more years (Eurostat, US Census Bureau). We adopt the 10-year interval as a deliberate analytical choice for two reasons: (a) it approximates the time scale over which major population policy interventions—housing programmes, childcare systems, educational pathway reforms—are designed, implemented, and begin to produce measurable demographic effects (McDonald 2000); and (b) it provides a conservative test of the tempo channel, since more frequent updates would narrow any remaining gap between model variants. That the tempo-adjusted model (TFR*) still achieves measurably better fit (median MAPE 4.3%) despite the conservative decadal interval strengthens the case for explicit tempo decomposition. Third, the Gompertz survival function fits adult mortality well but approximates infant and child mortality less precisely; national projections typically use more flexible models (Wilmoth et al. 2012). Fourth, the decomposition is necessarily model-dependent: the counterfactual ‘MAC frozen at 1970’ is a thought experiment, not a prediction of what would have occurred in the absence of postponement, since MAC changes are endogenous to broader social and economic shifts (Lesthaeghe 2010). Despite these limitations, the model’s parsimonious structure is a feature: it makes the tempo–quantum–survival decomposition transparent and allows the magnitudes of each component to be compared directly.</w:t>
      </w:r>
    </w:p>
    <w:p>
      <w:pPr>
        <w:spacing w:after="120"/>
      </w:pPr>
      <w:r>
        <w:rPr>
          <w:b w:val="0"/>
          <w:i w:val="0"/>
          <w:sz w:val="24"/>
        </w:rPr>
        <w:t>Figure 5 provides model bias diagnostics, confirming that model performance is robust across demographic contexts with no systematic relationship between fit and TFR, life expectancy, or MAC.</w:t>
      </w:r>
    </w:p>
    <w:p>
      <w:pPr>
        <w:spacing w:before="240" w:after="240"/>
        <w:jc w:val="center"/>
      </w:pPr>
      <w:r>
        <w:rPr>
          <w:i/>
          <w:sz w:val="24"/>
        </w:rPr>
        <w:t>[Insert Figure 5 about here]</w:t>
      </w:r>
    </w:p>
    <w:p>
      <w:pPr>
        <w:spacing w:before="360" w:after="240"/>
      </w:pPr>
      <w:r>
        <w:rPr>
          <w:b/>
          <w:color w:val="000000"/>
          <w:sz w:val="24"/>
        </w:rPr>
        <w:t>6. Conclusion</w:t>
      </w:r>
    </w:p>
    <w:p>
      <w:pPr>
        <w:spacing w:after="240"/>
      </w:pPr>
      <w:r>
        <w:rPr>
          <w:b w:val="0"/>
          <w:i w:val="0"/>
          <w:sz w:val="24"/>
        </w:rPr>
        <w:t>The tempo effect on simultaneously living population is well-established in demographic theory but has never been systematically quantified across countries. Meanwhile, bibliometric evidence shows that the concept has essentially disappeared from the health and policy literature, and no national projection system decomposes the tempo channel explicitly. We provide this quantification using a parsimonious model validated against observed trajectories for 40 countries over 1970–2023. Five findings emerge.</w:t>
      </w:r>
    </w:p>
    <w:p>
      <w:pPr>
        <w:spacing w:after="240"/>
      </w:pPr>
      <w:r>
        <w:rPr>
          <w:b w:val="0"/>
          <w:i w:val="0"/>
          <w:sz w:val="24"/>
        </w:rPr>
        <w:t>First, the tempo effect is invisible within standard projection frameworks: tempo-invariant and tempo-responsive models yield nearly identical fit (median MAPE 4.5% versus 4.6%), because period TFR absorbs tempo distortion without decomposing it. Policymakers who rely on period TFR cannot distinguish postponement from permanent quantum decline. Second, explicit tempo decomposition via the Bongaarts–Feeney TFR* achieves the best overall fit (median MAPE 4.3%), with the largest improvements in countries experiencing strong postponement (Republic of Korea, China, Colombia). Third, the magnitude of the tempo effect is large: the observed rise in MAC across OECD countries independently reduced SLP by 8–17%, equivalent to 15–40 years of below-replacement fertility. Fourth, tempo is typically the second-largest component of population change in post-transitional countries, comparable in magnitude to quantum in several Central and Eastern European nations. Fifth, higher MAC accelerates the annual pace of population decline, compressing the time available for institutional adaptation.</w:t>
      </w:r>
    </w:p>
    <w:p>
      <w:pPr>
        <w:spacing w:after="360"/>
      </w:pPr>
      <w:r>
        <w:rPr>
          <w:b w:val="0"/>
          <w:i w:val="0"/>
          <w:sz w:val="24"/>
        </w:rPr>
        <w:t>These findings have two practical implications. For demographic assessment, the tools to decompose quantum and tempo already exist within national cohort-component projection systems; what is needed is the analytical step of reporting their separate contributions—a step that is straightforward in principle but absent in all 15 systems we reviewed. For population policy, the current framework operates on two levers—boosting births and extending lives—while ignoring the third. Our results demonstrate that birth timing constitutes an independent and quantitatively significant policy lever. Tempo-sensitive interventions—housing, childcare, educational reform—offer a complementary approach that operates not on the ultimate size of the population but on the speed at which demographic change unfolds. In an era where pronatalist policies have shown limited effectiveness in raising quantum (Gauthier 2007), the tempo channel deserves systematic attention as a means of managing the pace of demographic transition.</w:t>
      </w:r>
    </w:p>
    <w:p>
      <w:pPr>
        <w:spacing w:before="360" w:after="240"/>
      </w:pPr>
      <w:r>
        <w:rPr>
          <w:b/>
          <w:color w:val="000000"/>
          <w:sz w:val="24"/>
        </w:rPr>
        <w:t>Acknowledgements</w:t>
      </w:r>
    </w:p>
    <w:p>
      <w:pPr>
        <w:spacing w:after="360"/>
      </w:pPr>
      <w:r>
        <w:rPr>
          <w:b w:val="0"/>
          <w:i w:val="0"/>
          <w:sz w:val="24"/>
        </w:rPr>
        <w:t>[To be added upon acceptance]</w:t>
      </w:r>
    </w:p>
    <w:p>
      <w:pPr>
        <w:spacing w:before="360" w:after="240"/>
      </w:pPr>
      <w:r>
        <w:rPr>
          <w:b/>
          <w:color w:val="000000"/>
          <w:sz w:val="24"/>
        </w:rPr>
        <w:t>Disclosure statement</w:t>
      </w:r>
    </w:p>
    <w:p>
      <w:pPr>
        <w:spacing w:after="360"/>
      </w:pPr>
      <w:r>
        <w:rPr>
          <w:b w:val="0"/>
          <w:i w:val="0"/>
          <w:sz w:val="24"/>
        </w:rPr>
        <w:t>The authors report there are no competing interests to declare.</w:t>
      </w:r>
    </w:p>
    <w:p>
      <w:pPr>
        <w:spacing w:before="360" w:after="240"/>
      </w:pPr>
      <w:r>
        <w:rPr>
          <w:b/>
          <w:color w:val="000000"/>
          <w:sz w:val="24"/>
        </w:rPr>
        <w:t>Funding</w:t>
      </w:r>
    </w:p>
    <w:p>
      <w:pPr>
        <w:spacing w:after="360"/>
      </w:pPr>
      <w:r>
        <w:rPr>
          <w:b w:val="0"/>
          <w:i w:val="0"/>
          <w:sz w:val="24"/>
        </w:rPr>
        <w:t>This research received no specific grant from any funding agency in the public, commercial, or not-for-profit sectors.</w:t>
      </w:r>
    </w:p>
    <w:p>
      <w:pPr>
        <w:spacing w:before="360" w:after="240"/>
      </w:pPr>
      <w:r>
        <w:rPr>
          <w:b/>
          <w:color w:val="000000"/>
          <w:sz w:val="24"/>
        </w:rPr>
        <w:t>GATHER compliance statement</w:t>
      </w:r>
    </w:p>
    <w:p>
      <w:pPr>
        <w:spacing w:after="360"/>
      </w:pPr>
      <w:r>
        <w:rPr>
          <w:b w:val="0"/>
          <w:i w:val="0"/>
          <w:sz w:val="24"/>
        </w:rPr>
        <w:t>This study reports population estimates and follows the Guidelines for Accurate and Transparent Health Estimates Reporting (GATHER) (Stevens et al. 2016). All input data are from United Nations World Population Prospects 2024, publicly available at https://population.un.org/wpp/. No primary data collection was undertaken. The Gompertz survival model, normal fertility schedule, and endogenous renewal model are described in Section 3. Four parameters per period (TFR, e₀, MAC, σ) are used. MAPE and final ratio are reported as fit metrics. No formal uncertainty intervals; the model is deterministic. Analytical code is available from the authors upon request and will be deposited in a public repository upon acceptance.</w:t>
      </w:r>
    </w:p>
    <w:p>
      <w:pPr>
        <w:spacing w:before="360" w:after="240"/>
      </w:pPr>
      <w:r>
        <w:rPr>
          <w:b/>
          <w:color w:val="000000"/>
          <w:sz w:val="24"/>
        </w:rPr>
        <w:t>Data availability statement</w:t>
      </w:r>
    </w:p>
    <w:p>
      <w:pPr>
        <w:spacing w:after="360"/>
      </w:pPr>
      <w:r>
        <w:rPr>
          <w:b w:val="0"/>
          <w:i w:val="0"/>
          <w:sz w:val="24"/>
        </w:rPr>
        <w:t>All input data are drawn from the United Nations World Population Prospects 2024, publicly available at https://population.un.org/wpp/. Analytical code is available from the authors upon request and will be deposited in a public repository upon acceptance.</w:t>
      </w:r>
    </w:p>
    <w:p>
      <w:r>
        <w:br w:type="page"/>
      </w:r>
    </w:p>
    <w:p>
      <w:pPr>
        <w:spacing w:before="360" w:after="240"/>
      </w:pPr>
      <w:r>
        <w:rPr>
          <w:b/>
          <w:color w:val="000000"/>
          <w:sz w:val="24"/>
        </w:rPr>
        <w:t>Appendix A: Natural experiments — Political and border changes as exogenous shocks</w:t>
      </w:r>
    </w:p>
    <w:p>
      <w:pPr>
        <w:spacing w:after="240"/>
      </w:pPr>
      <w:r>
        <w:rPr>
          <w:b w:val="0"/>
          <w:i w:val="0"/>
          <w:sz w:val="24"/>
        </w:rPr>
        <w:t>Our model deliberately excludes migration. This design choice enables isolation of the pure quantum–tempo–survival mechanism, but raises an important question: how does the model perform when large-scale population redistribution occurs as a result of political upheaval? We examine several natural experiments that provide exogenous variation in population size independent of the demographic mechanisms our model captures.</w:t>
      </w:r>
    </w:p>
    <w:p>
      <w:pPr>
        <w:spacing w:before="240" w:after="160"/>
      </w:pPr>
      <w:r>
        <w:rPr>
          <w:i/>
          <w:color w:val="000000"/>
          <w:sz w:val="24"/>
        </w:rPr>
        <w:t>A.1 German reunification (1990)</w:t>
      </w:r>
    </w:p>
    <w:p>
      <w:pPr>
        <w:spacing w:after="120"/>
      </w:pPr>
      <w:r>
        <w:rPr>
          <w:b w:val="0"/>
          <w:i w:val="0"/>
          <w:sz w:val="24"/>
        </w:rPr>
        <w:t>The reunification of Germany in 1990 provides a particularly instructive test case. We construct a synthetic ‘combined Germany’ by summing the East and West German populations from 1970 onward, with a single set of demographic parameters (population-weighted averages of TFR, e₀, MAC). This synthetic series does not account for the massive East-to-West internal migration that followed reunification, nor the large-scale immigration from abroad that Germany experienced from the 1990s onward. Table A1 summarises the component analysis.</w:t>
      </w:r>
    </w:p>
    <w:p>
      <w:pPr>
        <w:spacing w:before="240" w:after="240"/>
        <w:jc w:val="center"/>
      </w:pPr>
      <w:r>
        <w:rPr>
          <w:i/>
          <w:sz w:val="24"/>
        </w:rPr>
        <w:t>[Insert Table A1 about here]</w:t>
      </w:r>
    </w:p>
    <w:p>
      <w:pPr>
        <w:spacing w:after="240"/>
      </w:pPr>
      <w:r>
        <w:rPr>
          <w:b w:val="0"/>
          <w:i w:val="0"/>
          <w:sz w:val="24"/>
        </w:rPr>
        <w:t>The model’s 15.8% overestimate of the combined population in 2023 relative to observed reflects the net immigration Germany received—the model’s ‘error’ directly quantifies the migration component. When we compare East and West Germany separately, the fertility dynamics are striking: East Germany experienced a dramatic post-reunification fertility collapse, with TFR falling to 0.77 in 1994 (Goldstein and Kreyenfeld 2011; Witte and Wagner 1995). This demographic shock was fully driven by quantum (a genuine decline in births) rather than tempo, making it an ideal test of the model’s ability to distinguish between the two channels.</w:t>
      </w:r>
    </w:p>
    <w:p>
      <w:pPr>
        <w:spacing w:before="240" w:after="160"/>
      </w:pPr>
      <w:r>
        <w:rPr>
          <w:i/>
          <w:color w:val="000000"/>
          <w:sz w:val="24"/>
        </w:rPr>
        <w:t>A.2 The Velvet Divorce: Czechia and Slovakia (1993)</w:t>
      </w:r>
    </w:p>
    <w:p>
      <w:pPr>
        <w:spacing w:after="240"/>
      </w:pPr>
      <w:r>
        <w:rPr>
          <w:b w:val="0"/>
          <w:i w:val="0"/>
          <w:sz w:val="24"/>
        </w:rPr>
        <w:t>The peaceful dissolution of Czechoslovakia into Czechia and Slovakia on 1 January 1993 created two independent states with distinct demographic trajectories. Both countries subsequently experienced rapid fertility postponement as they transitioned to market economies, but differed in their migration experiences: Czechia became a net immigration country after EU accession (2004), while Slovakia experienced sustained emigration.</w:t>
      </w:r>
    </w:p>
    <w:p>
      <w:pPr>
        <w:spacing w:before="240" w:after="160"/>
      </w:pPr>
      <w:r>
        <w:rPr>
          <w:i/>
          <w:color w:val="000000"/>
          <w:sz w:val="24"/>
        </w:rPr>
        <w:t>A.3 Yugoslav breakup (1991–2008)</w:t>
      </w:r>
    </w:p>
    <w:p>
      <w:pPr>
        <w:spacing w:after="240"/>
      </w:pPr>
      <w:r>
        <w:rPr>
          <w:b w:val="0"/>
          <w:i w:val="0"/>
          <w:sz w:val="24"/>
        </w:rPr>
        <w:t>The dissolution of Yugoslavia produced seven successor states with vastly different post-conflict demographic trajectories. War, ethnic cleansing, and refugee flows created massive population redistribution that our closed-population model cannot capture. Yet the model performs reasonably for countries where post-conflict migration was moderate.</w:t>
      </w:r>
    </w:p>
    <w:p>
      <w:pPr>
        <w:spacing w:before="240" w:after="160"/>
      </w:pPr>
      <w:r>
        <w:rPr>
          <w:i/>
          <w:color w:val="000000"/>
          <w:sz w:val="24"/>
        </w:rPr>
        <w:t>A.4 Baltic independence and EU accession</w:t>
      </w:r>
    </w:p>
    <w:p>
      <w:pPr>
        <w:spacing w:after="240"/>
      </w:pPr>
      <w:r>
        <w:rPr>
          <w:b w:val="0"/>
          <w:i w:val="0"/>
          <w:sz w:val="24"/>
        </w:rPr>
        <w:t>Estonia, Latvia, and Lithuania experienced two waves of demographic shock: the departure of ethnic Russians following independence (1991), and emigration to Western Europe after EU accession (2004). Our model captures the natural-increase dynamics but cannot account for these migration shocks. The resulting MAPE (Estonia 4.8%, Latvia 6.6%, Lithuania 7.1%) directly quantifies the cumulative migration deficit.</w:t>
      </w:r>
    </w:p>
    <w:p>
      <w:pPr>
        <w:spacing w:before="240" w:after="160"/>
      </w:pPr>
      <w:r>
        <w:rPr>
          <w:i/>
          <w:color w:val="000000"/>
          <w:sz w:val="24"/>
        </w:rPr>
        <w:t>A.5 Eritrean independence (1993)</w:t>
      </w:r>
    </w:p>
    <w:p>
      <w:pPr>
        <w:spacing w:after="240"/>
      </w:pPr>
      <w:r>
        <w:rPr>
          <w:b w:val="0"/>
          <w:i w:val="0"/>
          <w:sz w:val="24"/>
        </w:rPr>
        <w:t>Eritrea’s independence from Ethiopia in 1993 represents an extreme case. The model’s high MAPE for Eritrea (37.8%) reflects the combination of conflict-driven displacement, data uncertainty, and rapid demographic change that is difficult to capture with any simple model.</w:t>
      </w:r>
    </w:p>
    <w:p>
      <w:pPr>
        <w:spacing w:before="240" w:after="160"/>
      </w:pPr>
      <w:r>
        <w:rPr>
          <w:i/>
          <w:color w:val="000000"/>
          <w:sz w:val="24"/>
        </w:rPr>
        <w:t>A.6 Synthesis</w:t>
      </w:r>
    </w:p>
    <w:p>
      <w:pPr>
        <w:spacing w:after="120"/>
      </w:pPr>
      <w:r>
        <w:rPr>
          <w:b w:val="0"/>
          <w:i w:val="0"/>
          <w:sz w:val="24"/>
        </w:rPr>
        <w:t>Table A2 summarises model performance across all natural experiment cases.</w:t>
      </w:r>
    </w:p>
    <w:p>
      <w:pPr>
        <w:spacing w:before="240" w:after="240"/>
        <w:jc w:val="center"/>
      </w:pPr>
      <w:r>
        <w:rPr>
          <w:i/>
          <w:sz w:val="24"/>
        </w:rPr>
        <w:t>[Insert Table A2 about here]</w:t>
      </w:r>
    </w:p>
    <w:p>
      <w:pPr>
        <w:spacing w:after="240"/>
      </w:pPr>
      <w:r>
        <w:rPr>
          <w:b w:val="0"/>
          <w:i w:val="0"/>
          <w:sz w:val="24"/>
        </w:rPr>
        <w:t>These natural experiments yield three key insights. First, the model performs reasonably (MAPE &lt; 8%) even for countries with major political upheaval, provided post-event migration was moderate. Second, the model–observation divergence provides a direct estimate of the migration component: Germany’s 15.8% gap implies ~13.5 million persons added by immigration. Third, the model’s limitations are most acute in conflict-affected, data-sparse settings (Eritrea: 37.8%).</w:t>
      </w:r>
    </w:p>
    <w:p>
      <w:r>
        <w:br w:type="page"/>
      </w:r>
    </w:p>
    <w:p>
      <w:pPr>
        <w:spacing w:before="360" w:after="240"/>
      </w:pPr>
      <w:r>
        <w:rPr>
          <w:b/>
          <w:color w:val="000000"/>
          <w:sz w:val="24"/>
        </w:rPr>
        <w:t>References</w:t>
      </w:r>
    </w:p>
    <w:p>
      <w:pPr>
        <w:spacing w:after="80"/>
        <w:ind w:hanging="720" w:left="720"/>
      </w:pPr>
      <w:r>
        <w:rPr>
          <w:sz w:val="22"/>
        </w:rPr>
        <w:t xml:space="preserve">Bongaarts, John and Griffith Feeney. 1998. On the quantum and tempo of fertility, </w:t>
      </w:r>
      <w:r>
        <w:rPr>
          <w:i/>
          <w:sz w:val="22"/>
        </w:rPr>
        <w:t>Population and Development Review</w:t>
      </w:r>
      <w:r>
        <w:rPr>
          <w:sz w:val="22"/>
        </w:rPr>
        <w:t xml:space="preserve"> 24(2): 271–291.</w:t>
      </w:r>
    </w:p>
    <w:p>
      <w:pPr>
        <w:spacing w:after="80"/>
        <w:ind w:hanging="720" w:left="720"/>
      </w:pPr>
      <w:r>
        <w:rPr>
          <w:sz w:val="22"/>
        </w:rPr>
        <w:t xml:space="preserve">Bongaarts, John and Griffith Feeney. 2006. The quantum and tempo of life-cycle events, </w:t>
      </w:r>
      <w:r>
        <w:rPr>
          <w:i/>
          <w:sz w:val="22"/>
        </w:rPr>
        <w:t>Vienna Yearbook of Population Research</w:t>
      </w:r>
      <w:r>
        <w:rPr>
          <w:sz w:val="22"/>
        </w:rPr>
        <w:t xml:space="preserve"> 4: 115–151.</w:t>
      </w:r>
    </w:p>
    <w:p>
      <w:pPr>
        <w:spacing w:after="80"/>
        <w:ind w:hanging="720" w:left="720"/>
      </w:pPr>
      <w:r>
        <w:rPr>
          <w:sz w:val="22"/>
        </w:rPr>
        <w:t xml:space="preserve">Bongaarts, John and Tomáš Sobotka. 2012. A demographic explanation for the recent rise in European fertility, </w:t>
      </w:r>
      <w:r>
        <w:rPr>
          <w:i/>
          <w:sz w:val="22"/>
        </w:rPr>
        <w:t>Population and Development Review</w:t>
      </w:r>
      <w:r>
        <w:rPr>
          <w:sz w:val="22"/>
        </w:rPr>
        <w:t xml:space="preserve"> 38(1): 83–120.</w:t>
      </w:r>
    </w:p>
    <w:p>
      <w:pPr>
        <w:spacing w:after="80"/>
        <w:ind w:hanging="720" w:left="720"/>
      </w:pPr>
      <w:r>
        <w:rPr>
          <w:sz w:val="22"/>
        </w:rPr>
        <w:t xml:space="preserve">Frejka, Tomáš and Tomáš Sobotka. 2008. Fertility in Europe: Diverse, delayed and below replacement, </w:t>
      </w:r>
      <w:r>
        <w:rPr>
          <w:i/>
          <w:sz w:val="22"/>
        </w:rPr>
        <w:t>Demographic Research</w:t>
      </w:r>
      <w:r>
        <w:rPr>
          <w:sz w:val="22"/>
        </w:rPr>
        <w:t xml:space="preserve"> 19(3): 15–46.</w:t>
      </w:r>
    </w:p>
    <w:p>
      <w:pPr>
        <w:spacing w:after="80"/>
        <w:ind w:hanging="720" w:left="720"/>
      </w:pPr>
      <w:r>
        <w:rPr>
          <w:sz w:val="22"/>
        </w:rPr>
        <w:t xml:space="preserve">Gauthier, Anne H. 2007. The impact of family policies on fertility in industrialized countries, </w:t>
      </w:r>
      <w:r>
        <w:rPr>
          <w:i/>
          <w:sz w:val="22"/>
        </w:rPr>
        <w:t>Population Research and Policy Review</w:t>
      </w:r>
      <w:r>
        <w:rPr>
          <w:sz w:val="22"/>
        </w:rPr>
        <w:t xml:space="preserve"> 26(3): 323–346.</w:t>
      </w:r>
    </w:p>
    <w:p>
      <w:pPr>
        <w:spacing w:after="80"/>
        <w:ind w:hanging="720" w:left="720"/>
      </w:pPr>
      <w:r>
        <w:rPr>
          <w:sz w:val="22"/>
        </w:rPr>
        <w:t xml:space="preserve">Goldstein, Joshua R. and Michaela Kreyenfeld. 2011. Has East Germany overtaken West Germany? Recent trends in order-specific fertility, </w:t>
      </w:r>
      <w:r>
        <w:rPr>
          <w:i/>
          <w:sz w:val="22"/>
        </w:rPr>
        <w:t>Population and Development Review</w:t>
      </w:r>
      <w:r>
        <w:rPr>
          <w:sz w:val="22"/>
        </w:rPr>
        <w:t xml:space="preserve"> 37(3): 453–472.</w:t>
      </w:r>
    </w:p>
    <w:p>
      <w:pPr>
        <w:spacing w:after="80"/>
        <w:ind w:hanging="720" w:left="720"/>
      </w:pPr>
      <w:r>
        <w:rPr>
          <w:sz w:val="22"/>
        </w:rPr>
        <w:t xml:space="preserve">Goldstein, Joshua R., Wolfgang Lutz, and Sergei Scherbov. 2003. Long-term population decline in Europe: The relative importance of tempo effects and generational length, </w:t>
      </w:r>
      <w:r>
        <w:rPr>
          <w:i/>
          <w:sz w:val="22"/>
        </w:rPr>
        <w:t>Population and Development Review</w:t>
      </w:r>
      <w:r>
        <w:rPr>
          <w:sz w:val="22"/>
        </w:rPr>
        <w:t xml:space="preserve"> 29(4): 699–707.</w:t>
      </w:r>
    </w:p>
    <w:p>
      <w:pPr>
        <w:spacing w:after="80"/>
        <w:ind w:hanging="720" w:left="720"/>
      </w:pPr>
      <w:r>
        <w:rPr>
          <w:sz w:val="22"/>
        </w:rPr>
        <w:t xml:space="preserve">Gompertz, Benjamin. 1825. On the nature of the function expressive of the law of human mortality, </w:t>
      </w:r>
      <w:r>
        <w:rPr>
          <w:i/>
          <w:sz w:val="22"/>
        </w:rPr>
        <w:t>Philosophical Transactions of the Royal Society of London</w:t>
      </w:r>
      <w:r>
        <w:rPr>
          <w:sz w:val="22"/>
        </w:rPr>
        <w:t xml:space="preserve"> 115: 513–583.</w:t>
      </w:r>
    </w:p>
    <w:p>
      <w:pPr>
        <w:spacing w:after="80"/>
        <w:ind w:hanging="720" w:left="720"/>
      </w:pPr>
      <w:r>
        <w:rPr>
          <w:sz w:val="22"/>
        </w:rPr>
        <w:t>Gonand, Frédéric. 2005. Assessing the robustness of demographic projections in OECD countries. OECD Economics Department Working Papers No. 464. Paris: OECD Publishing.</w:t>
      </w:r>
    </w:p>
    <w:p>
      <w:pPr>
        <w:spacing w:after="80"/>
        <w:ind w:hanging="720" w:left="720"/>
      </w:pPr>
      <w:r>
        <w:rPr>
          <w:sz w:val="22"/>
        </w:rPr>
        <w:t xml:space="preserve">Keyfitz, Nathan. 1971. On the momentum of population growth, </w:t>
      </w:r>
      <w:r>
        <w:rPr>
          <w:i/>
          <w:sz w:val="22"/>
        </w:rPr>
        <w:t>Demography</w:t>
      </w:r>
      <w:r>
        <w:rPr>
          <w:sz w:val="22"/>
        </w:rPr>
        <w:t xml:space="preserve"> 8(1): 71–80.</w:t>
      </w:r>
    </w:p>
    <w:p>
      <w:pPr>
        <w:spacing w:after="80"/>
        <w:ind w:hanging="720" w:left="720"/>
      </w:pPr>
      <w:r>
        <w:rPr>
          <w:sz w:val="22"/>
        </w:rPr>
        <w:t xml:space="preserve">Kohler, Hans-Peter and José Antonio Ortega. 2002. Tempo-adjusted period parity progression measures, fertility postponement and completed cohort fertility, </w:t>
      </w:r>
      <w:r>
        <w:rPr>
          <w:i/>
          <w:sz w:val="22"/>
        </w:rPr>
        <w:t>Demographic Research</w:t>
      </w:r>
      <w:r>
        <w:rPr>
          <w:sz w:val="22"/>
        </w:rPr>
        <w:t xml:space="preserve"> 6(6): 91–144.</w:t>
      </w:r>
    </w:p>
    <w:p>
      <w:pPr>
        <w:spacing w:after="80"/>
        <w:ind w:hanging="720" w:left="720"/>
      </w:pPr>
      <w:r>
        <w:rPr>
          <w:sz w:val="22"/>
        </w:rPr>
        <w:t xml:space="preserve">Kohler, Hans-Peter, Francesco C. Billari, and José Antonio Ortega. 2002. The emergence of lowest-low fertility in Europe during the 1990s, </w:t>
      </w:r>
      <w:r>
        <w:rPr>
          <w:i/>
          <w:sz w:val="22"/>
        </w:rPr>
        <w:t>Population and Development Review</w:t>
      </w:r>
      <w:r>
        <w:rPr>
          <w:sz w:val="22"/>
        </w:rPr>
        <w:t xml:space="preserve"> 28(4): 641–680.</w:t>
      </w:r>
    </w:p>
    <w:p>
      <w:pPr>
        <w:spacing w:after="80"/>
        <w:ind w:hanging="720" w:left="720"/>
      </w:pPr>
      <w:r>
        <w:rPr>
          <w:sz w:val="22"/>
        </w:rPr>
        <w:t xml:space="preserve">Lee, Ronald D. and Lawrence R. Carter. 1992. Modeling and forecasting U.S. mortality, </w:t>
      </w:r>
      <w:r>
        <w:rPr>
          <w:i/>
          <w:sz w:val="22"/>
        </w:rPr>
        <w:t>Journal of the American Statistical Association</w:t>
      </w:r>
      <w:r>
        <w:rPr>
          <w:sz w:val="22"/>
        </w:rPr>
        <w:t xml:space="preserve"> 87(419): 659–671.</w:t>
      </w:r>
    </w:p>
    <w:p>
      <w:pPr>
        <w:spacing w:after="80"/>
        <w:ind w:hanging="720" w:left="720"/>
      </w:pPr>
      <w:r>
        <w:rPr>
          <w:sz w:val="22"/>
        </w:rPr>
        <w:t xml:space="preserve">Lesthaeghe, Ron. 2010. The unfolding story of the Second Demographic Transition, </w:t>
      </w:r>
      <w:r>
        <w:rPr>
          <w:i/>
          <w:sz w:val="22"/>
        </w:rPr>
        <w:t>Population and Development Review</w:t>
      </w:r>
      <w:r>
        <w:rPr>
          <w:sz w:val="22"/>
        </w:rPr>
        <w:t xml:space="preserve"> 36(2): 211–251.</w:t>
      </w:r>
    </w:p>
    <w:p>
      <w:pPr>
        <w:spacing w:after="80"/>
        <w:ind w:hanging="720" w:left="720"/>
      </w:pPr>
      <w:r>
        <w:rPr>
          <w:sz w:val="22"/>
        </w:rPr>
        <w:t xml:space="preserve">Lutz, Wolfgang, Warren Sanderson, and Sergei Scherbov. 2001. The end of world population growth, </w:t>
      </w:r>
      <w:r>
        <w:rPr>
          <w:i/>
          <w:sz w:val="22"/>
        </w:rPr>
        <w:t>Nature</w:t>
      </w:r>
      <w:r>
        <w:rPr>
          <w:sz w:val="22"/>
        </w:rPr>
        <w:t xml:space="preserve"> 412: 543–545.</w:t>
      </w:r>
    </w:p>
    <w:p>
      <w:pPr>
        <w:spacing w:after="80"/>
        <w:ind w:hanging="720" w:left="720"/>
      </w:pPr>
      <w:r>
        <w:rPr>
          <w:sz w:val="22"/>
        </w:rPr>
        <w:t xml:space="preserve">McDonald, Peter. 2000. Gender equity in theories of fertility transition, </w:t>
      </w:r>
      <w:r>
        <w:rPr>
          <w:i/>
          <w:sz w:val="22"/>
        </w:rPr>
        <w:t>Population and Development Review</w:t>
      </w:r>
      <w:r>
        <w:rPr>
          <w:sz w:val="22"/>
        </w:rPr>
        <w:t xml:space="preserve"> 26(3): 427–439.</w:t>
      </w:r>
    </w:p>
    <w:p>
      <w:pPr>
        <w:spacing w:after="80"/>
        <w:ind w:hanging="720" w:left="720"/>
      </w:pPr>
      <w:r>
        <w:rPr>
          <w:sz w:val="22"/>
        </w:rPr>
        <w:t xml:space="preserve">Myrskylä, Mikko, Hans-Peter Kohler, and Francesco C. Billari. 2009. Advances in development reverse fertility declines, </w:t>
      </w:r>
      <w:r>
        <w:rPr>
          <w:i/>
          <w:sz w:val="22"/>
        </w:rPr>
        <w:t>Nature</w:t>
      </w:r>
      <w:r>
        <w:rPr>
          <w:sz w:val="22"/>
        </w:rPr>
        <w:t xml:space="preserve"> 460: 741–743.</w:t>
      </w:r>
    </w:p>
    <w:p>
      <w:pPr>
        <w:spacing w:after="80"/>
        <w:ind w:hanging="720" w:left="720"/>
      </w:pPr>
      <w:r>
        <w:rPr>
          <w:sz w:val="22"/>
        </w:rPr>
        <w:t xml:space="preserve">Preston, Samuel H., Patrick Heuveline, and Michel Guillot. 2001. </w:t>
      </w:r>
      <w:r>
        <w:rPr>
          <w:i/>
          <w:sz w:val="22"/>
        </w:rPr>
        <w:t>Demography: Measuring and Modeling Population Processes</w:t>
      </w:r>
      <w:r>
        <w:rPr>
          <w:sz w:val="22"/>
        </w:rPr>
        <w:t>. Oxford: Blackwell.</w:t>
      </w:r>
    </w:p>
    <w:p>
      <w:pPr>
        <w:spacing w:after="80"/>
        <w:ind w:hanging="720" w:left="720"/>
      </w:pPr>
      <w:r>
        <w:rPr>
          <w:sz w:val="22"/>
        </w:rPr>
        <w:t xml:space="preserve">Ryder, Norman B. 1964. The process of demographic translation, </w:t>
      </w:r>
      <w:r>
        <w:rPr>
          <w:i/>
          <w:sz w:val="22"/>
        </w:rPr>
        <w:t>Demography</w:t>
      </w:r>
      <w:r>
        <w:rPr>
          <w:sz w:val="22"/>
        </w:rPr>
        <w:t xml:space="preserve"> 1(1): 74–82.</w:t>
      </w:r>
    </w:p>
    <w:p>
      <w:pPr>
        <w:spacing w:after="80"/>
        <w:ind w:hanging="720" w:left="720"/>
      </w:pPr>
      <w:r>
        <w:rPr>
          <w:sz w:val="22"/>
        </w:rPr>
        <w:t xml:space="preserve">Sobotka, Tomáš. 2004. Is lowest-low fertility in Europe explained by the postponement of childbearing?, </w:t>
      </w:r>
      <w:r>
        <w:rPr>
          <w:i/>
          <w:sz w:val="22"/>
        </w:rPr>
        <w:t>Population and Development Review</w:t>
      </w:r>
      <w:r>
        <w:rPr>
          <w:sz w:val="22"/>
        </w:rPr>
        <w:t xml:space="preserve"> 30(2): 195–220.</w:t>
      </w:r>
    </w:p>
    <w:p>
      <w:pPr>
        <w:spacing w:after="80"/>
        <w:ind w:hanging="720" w:left="720"/>
      </w:pPr>
      <w:r>
        <w:rPr>
          <w:sz w:val="22"/>
        </w:rPr>
        <w:t xml:space="preserve">Stevens, Gretchen A., Leontine Alkema, Robert E. Black, et al. 2016. Guidelines for Accurate and Transparent Health Estimates Reporting: The GATHER statement, </w:t>
      </w:r>
      <w:r>
        <w:rPr>
          <w:i/>
          <w:sz w:val="22"/>
        </w:rPr>
        <w:t>The Lancet</w:t>
      </w:r>
      <w:r>
        <w:rPr>
          <w:sz w:val="22"/>
        </w:rPr>
        <w:t xml:space="preserve"> 388(10062): e19–e23.</w:t>
      </w:r>
    </w:p>
    <w:p>
      <w:pPr>
        <w:spacing w:after="80"/>
        <w:ind w:hanging="720" w:left="720"/>
      </w:pPr>
      <w:r>
        <w:rPr>
          <w:sz w:val="22"/>
        </w:rPr>
        <w:t xml:space="preserve">Thévenon, Olivier. 2011. Family policies in OECD countries: A comparative analysis, </w:t>
      </w:r>
      <w:r>
        <w:rPr>
          <w:i/>
          <w:sz w:val="22"/>
        </w:rPr>
        <w:t>Population and Development Review</w:t>
      </w:r>
      <w:r>
        <w:rPr>
          <w:sz w:val="22"/>
        </w:rPr>
        <w:t xml:space="preserve"> 37(1): 57–87.</w:t>
      </w:r>
    </w:p>
    <w:p>
      <w:pPr>
        <w:spacing w:after="80"/>
        <w:ind w:hanging="720" w:left="720"/>
      </w:pPr>
      <w:r>
        <w:rPr>
          <w:sz w:val="22"/>
        </w:rPr>
        <w:t xml:space="preserve">United Nations, Department of Economic and Social Affairs, Population Division. 2024. </w:t>
      </w:r>
      <w:r>
        <w:rPr>
          <w:i/>
          <w:sz w:val="22"/>
        </w:rPr>
        <w:t>World Population Prospects 2024</w:t>
      </w:r>
      <w:r>
        <w:rPr>
          <w:sz w:val="22"/>
        </w:rPr>
        <w:t>. New York: United Nations.</w:t>
      </w:r>
    </w:p>
    <w:p>
      <w:pPr>
        <w:spacing w:after="80"/>
        <w:ind w:hanging="720" w:left="720"/>
      </w:pPr>
      <w:r>
        <w:rPr>
          <w:sz w:val="22"/>
        </w:rPr>
        <w:t xml:space="preserve">Wilmoth, John R., Sarah Zureick, Vladimir Canudas-Romo, Mie Inoue, and Claudia Sawyer. 2012. A flexible two-dimensional mortality model for use in indirect estimation, </w:t>
      </w:r>
      <w:r>
        <w:rPr>
          <w:i/>
          <w:sz w:val="22"/>
        </w:rPr>
        <w:t>Population Studies</w:t>
      </w:r>
      <w:r>
        <w:rPr>
          <w:sz w:val="22"/>
        </w:rPr>
        <w:t xml:space="preserve"> 66(1): 1–28.</w:t>
      </w:r>
    </w:p>
    <w:p>
      <w:pPr>
        <w:spacing w:after="80"/>
        <w:ind w:hanging="720" w:left="720"/>
      </w:pPr>
      <w:r>
        <w:rPr>
          <w:sz w:val="22"/>
        </w:rPr>
        <w:t xml:space="preserve">Witte, James C. and Gert G. Wagner. 1995. Declining fertility in East Germany after unification, </w:t>
      </w:r>
      <w:r>
        <w:rPr>
          <w:i/>
          <w:sz w:val="22"/>
        </w:rPr>
        <w:t>Population and Development Review</w:t>
      </w:r>
      <w:r>
        <w:rPr>
          <w:sz w:val="22"/>
        </w:rPr>
        <w:t xml:space="preserve"> 21(2): 387–397.</w:t>
      </w:r>
    </w:p>
    <w:p>
      <w:r>
        <w:br w:type="page"/>
      </w:r>
    </w:p>
    <w:p>
      <w:pPr>
        <w:spacing w:after="80"/>
      </w:pPr>
      <w:r>
        <w:rPr>
          <w:b w:val="0"/>
          <w:i w:val="0"/>
          <w:sz w:val="22"/>
        </w:rPr>
        <w:t>Table 1: PubMed publication counts by search term and period</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Period</w:t>
            </w:r>
          </w:p>
        </w:tc>
        <w:tc>
          <w:tcPr>
            <w:tcW w:type="dxa" w:w="2340"/>
          </w:tcPr>
          <w:p>
            <w:r>
              <w:t>‘Tempo effect’</w:t>
              <w:br/>
              <w:t>+ demography</w:t>
            </w:r>
          </w:p>
        </w:tc>
        <w:tc>
          <w:tcPr>
            <w:tcW w:type="dxa" w:w="2340"/>
          </w:tcPr>
          <w:p>
            <w:r>
              <w:t>‘Delayed</w:t>
              <w:br/>
              <w:t>childbearing’</w:t>
            </w:r>
          </w:p>
        </w:tc>
        <w:tc>
          <w:tcPr>
            <w:tcW w:type="dxa" w:w="2340"/>
          </w:tcPr>
          <w:p>
            <w:r>
              <w:t>‘Fertility</w:t>
              <w:br/>
              <w:t>postponement’</w:t>
            </w:r>
          </w:p>
        </w:tc>
      </w:tr>
      <w:tr>
        <w:tc>
          <w:tcPr>
            <w:tcW w:type="dxa" w:w="2340"/>
          </w:tcPr>
          <w:p>
            <w:r>
              <w:t>1998–2002</w:t>
            </w:r>
          </w:p>
        </w:tc>
        <w:tc>
          <w:tcPr>
            <w:tcW w:type="dxa" w:w="2340"/>
          </w:tcPr>
          <w:p>
            <w:r>
              <w:t>0</w:t>
            </w:r>
          </w:p>
        </w:tc>
        <w:tc>
          <w:tcPr>
            <w:tcW w:type="dxa" w:w="2340"/>
          </w:tcPr>
          <w:p>
            <w:r>
              <w:t>22</w:t>
            </w:r>
          </w:p>
        </w:tc>
        <w:tc>
          <w:tcPr>
            <w:tcW w:type="dxa" w:w="2340"/>
          </w:tcPr>
          <w:p>
            <w:r>
              <w:t>0</w:t>
            </w:r>
          </w:p>
        </w:tc>
      </w:tr>
      <w:tr>
        <w:tc>
          <w:tcPr>
            <w:tcW w:type="dxa" w:w="2340"/>
          </w:tcPr>
          <w:p>
            <w:r>
              <w:t>2003–2007</w:t>
            </w:r>
          </w:p>
        </w:tc>
        <w:tc>
          <w:tcPr>
            <w:tcW w:type="dxa" w:w="2340"/>
          </w:tcPr>
          <w:p>
            <w:r>
              <w:t>2</w:t>
            </w:r>
          </w:p>
        </w:tc>
        <w:tc>
          <w:tcPr>
            <w:tcW w:type="dxa" w:w="2340"/>
          </w:tcPr>
          <w:p>
            <w:r>
              <w:t>39</w:t>
            </w:r>
          </w:p>
        </w:tc>
        <w:tc>
          <w:tcPr>
            <w:tcW w:type="dxa" w:w="2340"/>
          </w:tcPr>
          <w:p>
            <w:r>
              <w:t>0</w:t>
            </w:r>
          </w:p>
        </w:tc>
      </w:tr>
      <w:tr>
        <w:tc>
          <w:tcPr>
            <w:tcW w:type="dxa" w:w="2340"/>
          </w:tcPr>
          <w:p>
            <w:r>
              <w:t>2008–2012</w:t>
            </w:r>
          </w:p>
        </w:tc>
        <w:tc>
          <w:tcPr>
            <w:tcW w:type="dxa" w:w="2340"/>
          </w:tcPr>
          <w:p>
            <w:r>
              <w:t>2</w:t>
            </w:r>
          </w:p>
        </w:tc>
        <w:tc>
          <w:tcPr>
            <w:tcW w:type="dxa" w:w="2340"/>
          </w:tcPr>
          <w:p>
            <w:r>
              <w:t>56</w:t>
            </w:r>
          </w:p>
        </w:tc>
        <w:tc>
          <w:tcPr>
            <w:tcW w:type="dxa" w:w="2340"/>
          </w:tcPr>
          <w:p>
            <w:r>
              <w:t>6</w:t>
            </w:r>
          </w:p>
        </w:tc>
      </w:tr>
      <w:tr>
        <w:tc>
          <w:tcPr>
            <w:tcW w:type="dxa" w:w="2340"/>
          </w:tcPr>
          <w:p>
            <w:r>
              <w:t>2013–2017</w:t>
            </w:r>
          </w:p>
        </w:tc>
        <w:tc>
          <w:tcPr>
            <w:tcW w:type="dxa" w:w="2340"/>
          </w:tcPr>
          <w:p>
            <w:r>
              <w:t>1</w:t>
            </w:r>
          </w:p>
        </w:tc>
        <w:tc>
          <w:tcPr>
            <w:tcW w:type="dxa" w:w="2340"/>
          </w:tcPr>
          <w:p>
            <w:r>
              <w:t>90</w:t>
            </w:r>
          </w:p>
        </w:tc>
        <w:tc>
          <w:tcPr>
            <w:tcW w:type="dxa" w:w="2340"/>
          </w:tcPr>
          <w:p>
            <w:r>
              <w:t>5</w:t>
            </w:r>
          </w:p>
        </w:tc>
      </w:tr>
      <w:tr>
        <w:tc>
          <w:tcPr>
            <w:tcW w:type="dxa" w:w="2340"/>
          </w:tcPr>
          <w:p>
            <w:r>
              <w:t>2018–2022</w:t>
            </w:r>
          </w:p>
        </w:tc>
        <w:tc>
          <w:tcPr>
            <w:tcW w:type="dxa" w:w="2340"/>
          </w:tcPr>
          <w:p>
            <w:r>
              <w:t>3</w:t>
            </w:r>
          </w:p>
        </w:tc>
        <w:tc>
          <w:tcPr>
            <w:tcW w:type="dxa" w:w="2340"/>
          </w:tcPr>
          <w:p>
            <w:r>
              <w:t>89</w:t>
            </w:r>
          </w:p>
        </w:tc>
        <w:tc>
          <w:tcPr>
            <w:tcW w:type="dxa" w:w="2340"/>
          </w:tcPr>
          <w:p>
            <w:r>
              <w:t>10</w:t>
            </w:r>
          </w:p>
        </w:tc>
      </w:tr>
      <w:tr>
        <w:tc>
          <w:tcPr>
            <w:tcW w:type="dxa" w:w="2340"/>
          </w:tcPr>
          <w:p>
            <w:r>
              <w:t>2023–2025</w:t>
            </w:r>
          </w:p>
        </w:tc>
        <w:tc>
          <w:tcPr>
            <w:tcW w:type="dxa" w:w="2340"/>
          </w:tcPr>
          <w:p>
            <w:r>
              <w:t>0</w:t>
            </w:r>
          </w:p>
        </w:tc>
        <w:tc>
          <w:tcPr>
            <w:tcW w:type="dxa" w:w="2340"/>
          </w:tcPr>
          <w:p>
            <w:r>
              <w:t>96</w:t>
            </w:r>
          </w:p>
        </w:tc>
        <w:tc>
          <w:tcPr>
            <w:tcW w:type="dxa" w:w="2340"/>
          </w:tcPr>
          <w:p>
            <w:r>
              <w:t>14</w:t>
            </w:r>
          </w:p>
        </w:tc>
      </w:tr>
    </w:tbl>
    <w:p>
      <w:pPr>
        <w:spacing w:after="80"/>
      </w:pPr>
      <w:r>
        <w:rPr>
          <w:b w:val="0"/>
          <w:i w:val="0"/>
          <w:sz w:val="12"/>
        </w:rPr>
      </w:r>
    </w:p>
    <w:p>
      <w:pPr>
        <w:spacing w:after="240"/>
      </w:pPr>
      <w:r>
        <w:rPr>
          <w:b w:val="0"/>
          <w:i/>
          <w:sz w:val="18"/>
        </w:rPr>
        <w:t>Note: PubMed search conducted May 2025 using NCBI E-utilities API. ‘Tempo effect’ search: "tempo effect" AND (fertility OR demography OR population). ‘Delayed childbearing’ search: "delayed childbearing" OR "postponement of childbearing". ‘Fertility postponement’ search: exact phrase. Results filtered by publication date.</w:t>
      </w:r>
    </w:p>
    <w:p>
      <w:r>
        <w:br w:type="page"/>
      </w:r>
    </w:p>
    <w:p>
      <w:pPr>
        <w:spacing w:after="80"/>
      </w:pPr>
      <w:r>
        <w:rPr>
          <w:b w:val="0"/>
          <w:i w:val="0"/>
          <w:sz w:val="22"/>
        </w:rPr>
        <w:t>Table 2: Model performance across 40 countries — five-model comparison</w:t>
      </w:r>
    </w:p>
    <w:tbl>
      <w:tblPr>
        <w:tblStyle w:val="LightShading-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t>Model variant</w:t>
            </w:r>
          </w:p>
        </w:tc>
        <w:tc>
          <w:tcPr>
            <w:tcW w:type="dxa" w:w="1560"/>
          </w:tcPr>
          <w:p>
            <w:r>
              <w:t>Horizon (yrs)</w:t>
            </w:r>
          </w:p>
        </w:tc>
        <w:tc>
          <w:tcPr>
            <w:tcW w:type="dxa" w:w="1560"/>
          </w:tcPr>
          <w:p>
            <w:r>
              <w:t>N</w:t>
            </w:r>
          </w:p>
        </w:tc>
        <w:tc>
          <w:tcPr>
            <w:tcW w:type="dxa" w:w="1560"/>
          </w:tcPr>
          <w:p>
            <w:r>
              <w:t>MAPE mean (%)</w:t>
            </w:r>
          </w:p>
        </w:tc>
        <w:tc>
          <w:tcPr>
            <w:tcW w:type="dxa" w:w="1560"/>
          </w:tcPr>
          <w:p>
            <w:r>
              <w:t>MAPE median (%)</w:t>
            </w:r>
          </w:p>
        </w:tc>
        <w:tc>
          <w:tcPr>
            <w:tcW w:type="dxa" w:w="1560"/>
          </w:tcPr>
          <w:p>
            <w:r>
              <w:t>Final ratio</w:t>
              <w:br/>
              <w:t>(mean ± SD)</w:t>
            </w:r>
          </w:p>
        </w:tc>
      </w:tr>
      <w:tr>
        <w:tc>
          <w:tcPr>
            <w:tcW w:type="dxa" w:w="1560"/>
          </w:tcPr>
          <w:p>
            <w:r>
              <w:t>Fixed-parameter (1970)</w:t>
            </w:r>
          </w:p>
        </w:tc>
        <w:tc>
          <w:tcPr>
            <w:tcW w:type="dxa" w:w="1560"/>
          </w:tcPr>
          <w:p>
            <w:r>
              <w:t>53</w:t>
            </w:r>
          </w:p>
        </w:tc>
        <w:tc>
          <w:tcPr>
            <w:tcW w:type="dxa" w:w="1560"/>
          </w:tcPr>
          <w:p>
            <w:r>
              <w:t>40</w:t>
            </w:r>
          </w:p>
        </w:tc>
        <w:tc>
          <w:tcPr>
            <w:tcW w:type="dxa" w:w="1560"/>
          </w:tcPr>
          <w:p>
            <w:r>
              <w:t>13.7</w:t>
            </w:r>
          </w:p>
        </w:tc>
        <w:tc>
          <w:tcPr>
            <w:tcW w:type="dxa" w:w="1560"/>
          </w:tcPr>
          <w:p>
            <w:r>
              <w:t>7.7</w:t>
            </w:r>
          </w:p>
        </w:tc>
        <w:tc>
          <w:tcPr>
            <w:tcW w:type="dxa" w:w="1560"/>
          </w:tcPr>
          <w:p>
            <w:r>
              <w:t>1.309 ± 0.554</w:t>
            </w:r>
          </w:p>
        </w:tc>
      </w:tr>
      <w:tr>
        <w:tc>
          <w:tcPr>
            <w:tcW w:type="dxa" w:w="1560"/>
          </w:tcPr>
          <w:p>
            <w:r>
              <w:t>Fixed-parameter (1980)</w:t>
            </w:r>
          </w:p>
        </w:tc>
        <w:tc>
          <w:tcPr>
            <w:tcW w:type="dxa" w:w="1560"/>
          </w:tcPr>
          <w:p>
            <w:r>
              <w:t>43</w:t>
            </w:r>
          </w:p>
        </w:tc>
        <w:tc>
          <w:tcPr>
            <w:tcW w:type="dxa" w:w="1560"/>
          </w:tcPr>
          <w:p>
            <w:r>
              <w:t>40</w:t>
            </w:r>
          </w:p>
        </w:tc>
        <w:tc>
          <w:tcPr>
            <w:tcW w:type="dxa" w:w="1560"/>
          </w:tcPr>
          <w:p>
            <w:r>
              <w:t>9.6</w:t>
            </w:r>
          </w:p>
        </w:tc>
        <w:tc>
          <w:tcPr>
            <w:tcW w:type="dxa" w:w="1560"/>
          </w:tcPr>
          <w:p>
            <w:r>
              <w:t>7.7</w:t>
            </w:r>
          </w:p>
        </w:tc>
        <w:tc>
          <w:tcPr>
            <w:tcW w:type="dxa" w:w="1560"/>
          </w:tcPr>
          <w:p>
            <w:r>
              <w:t>1.023 ± 0.288</w:t>
            </w:r>
          </w:p>
        </w:tc>
      </w:tr>
      <w:tr>
        <w:tc>
          <w:tcPr>
            <w:tcW w:type="dxa" w:w="1560"/>
          </w:tcPr>
          <w:p>
            <w:r>
              <w:t>Fixed-parameter (1990)</w:t>
            </w:r>
          </w:p>
        </w:tc>
        <w:tc>
          <w:tcPr>
            <w:tcW w:type="dxa" w:w="1560"/>
          </w:tcPr>
          <w:p>
            <w:r>
              <w:t>33</w:t>
            </w:r>
          </w:p>
        </w:tc>
        <w:tc>
          <w:tcPr>
            <w:tcW w:type="dxa" w:w="1560"/>
          </w:tcPr>
          <w:p>
            <w:r>
              <w:t>40</w:t>
            </w:r>
          </w:p>
        </w:tc>
        <w:tc>
          <w:tcPr>
            <w:tcW w:type="dxa" w:w="1560"/>
          </w:tcPr>
          <w:p>
            <w:r>
              <w:t>7.8</w:t>
            </w:r>
          </w:p>
        </w:tc>
        <w:tc>
          <w:tcPr>
            <w:tcW w:type="dxa" w:w="1560"/>
          </w:tcPr>
          <w:p>
            <w:r>
              <w:t>6.5</w:t>
            </w:r>
          </w:p>
        </w:tc>
        <w:tc>
          <w:tcPr>
            <w:tcW w:type="dxa" w:w="1560"/>
          </w:tcPr>
          <w:p>
            <w:r>
              <w:t>0.953 ± 0.198</w:t>
            </w:r>
          </w:p>
        </w:tc>
      </w:tr>
      <w:tr>
        <w:tc>
          <w:tcPr>
            <w:tcW w:type="dxa" w:w="1560"/>
          </w:tcPr>
          <w:p>
            <w:r>
              <w:t>Fixed-parameter (2000)</w:t>
            </w:r>
          </w:p>
        </w:tc>
        <w:tc>
          <w:tcPr>
            <w:tcW w:type="dxa" w:w="1560"/>
          </w:tcPr>
          <w:p>
            <w:r>
              <w:t>23</w:t>
            </w:r>
          </w:p>
        </w:tc>
        <w:tc>
          <w:tcPr>
            <w:tcW w:type="dxa" w:w="1560"/>
          </w:tcPr>
          <w:p>
            <w:r>
              <w:t>40</w:t>
            </w:r>
          </w:p>
        </w:tc>
        <w:tc>
          <w:tcPr>
            <w:tcW w:type="dxa" w:w="1560"/>
          </w:tcPr>
          <w:p>
            <w:r>
              <w:t>5.1</w:t>
            </w:r>
          </w:p>
        </w:tc>
        <w:tc>
          <w:tcPr>
            <w:tcW w:type="dxa" w:w="1560"/>
          </w:tcPr>
          <w:p>
            <w:r>
              <w:t>4.7</w:t>
            </w:r>
          </w:p>
        </w:tc>
        <w:tc>
          <w:tcPr>
            <w:tcW w:type="dxa" w:w="1560"/>
          </w:tcPr>
          <w:p>
            <w:r>
              <w:t>0.914 ± 0.101</w:t>
            </w:r>
          </w:p>
        </w:tc>
      </w:tr>
      <w:tr>
        <w:tc>
          <w:tcPr>
            <w:tcW w:type="dxa" w:w="1560"/>
          </w:tcPr>
          <w:p>
            <w:r>
              <w:t>Tempo-invariant (10-yr)</w:t>
            </w:r>
          </w:p>
        </w:tc>
        <w:tc>
          <w:tcPr>
            <w:tcW w:type="dxa" w:w="1560"/>
          </w:tcPr>
          <w:p>
            <w:r>
              <w:t>53</w:t>
            </w:r>
          </w:p>
        </w:tc>
        <w:tc>
          <w:tcPr>
            <w:tcW w:type="dxa" w:w="1560"/>
          </w:tcPr>
          <w:p>
            <w:r>
              <w:t>40</w:t>
            </w:r>
          </w:p>
        </w:tc>
        <w:tc>
          <w:tcPr>
            <w:tcW w:type="dxa" w:w="1560"/>
          </w:tcPr>
          <w:p>
            <w:r>
              <w:t>6.5</w:t>
            </w:r>
          </w:p>
        </w:tc>
        <w:tc>
          <w:tcPr>
            <w:tcW w:type="dxa" w:w="1560"/>
          </w:tcPr>
          <w:p>
            <w:r>
              <w:t>4.5</w:t>
            </w:r>
          </w:p>
        </w:tc>
        <w:tc>
          <w:tcPr>
            <w:tcW w:type="dxa" w:w="1560"/>
          </w:tcPr>
          <w:p>
            <w:r>
              <w:t>0.991 ± 0.182</w:t>
            </w:r>
          </w:p>
        </w:tc>
      </w:tr>
      <w:tr>
        <w:tc>
          <w:tcPr>
            <w:tcW w:type="dxa" w:w="1560"/>
          </w:tcPr>
          <w:p>
            <w:r>
              <w:t>Tempo-responsive (10-yr)</w:t>
            </w:r>
          </w:p>
        </w:tc>
        <w:tc>
          <w:tcPr>
            <w:tcW w:type="dxa" w:w="1560"/>
          </w:tcPr>
          <w:p>
            <w:r>
              <w:t>53</w:t>
            </w:r>
          </w:p>
        </w:tc>
        <w:tc>
          <w:tcPr>
            <w:tcW w:type="dxa" w:w="1560"/>
          </w:tcPr>
          <w:p>
            <w:r>
              <w:t>40</w:t>
            </w:r>
          </w:p>
        </w:tc>
        <w:tc>
          <w:tcPr>
            <w:tcW w:type="dxa" w:w="1560"/>
          </w:tcPr>
          <w:p>
            <w:r>
              <w:t>6.7</w:t>
            </w:r>
          </w:p>
        </w:tc>
        <w:tc>
          <w:tcPr>
            <w:tcW w:type="dxa" w:w="1560"/>
          </w:tcPr>
          <w:p>
            <w:r>
              <w:t>4.6</w:t>
            </w:r>
          </w:p>
        </w:tc>
        <w:tc>
          <w:tcPr>
            <w:tcW w:type="dxa" w:w="1560"/>
          </w:tcPr>
          <w:p>
            <w:r>
              <w:t>0.999 ± 0.189</w:t>
            </w:r>
          </w:p>
        </w:tc>
      </w:tr>
      <w:tr>
        <w:tc>
          <w:tcPr>
            <w:tcW w:type="dxa" w:w="1560"/>
          </w:tcPr>
          <w:p>
            <w:r>
              <w:t>Tempo-adjusted [TFR*]</w:t>
              <w:br/>
              <w:t>(10-yr)</w:t>
            </w:r>
          </w:p>
        </w:tc>
        <w:tc>
          <w:tcPr>
            <w:tcW w:type="dxa" w:w="1560"/>
          </w:tcPr>
          <w:p>
            <w:r>
              <w:t>53</w:t>
            </w:r>
          </w:p>
        </w:tc>
        <w:tc>
          <w:tcPr>
            <w:tcW w:type="dxa" w:w="1560"/>
          </w:tcPr>
          <w:p>
            <w:r>
              <w:t>40</w:t>
            </w:r>
          </w:p>
        </w:tc>
        <w:tc>
          <w:tcPr>
            <w:tcW w:type="dxa" w:w="1560"/>
          </w:tcPr>
          <w:p>
            <w:r>
              <w:t>5.8</w:t>
            </w:r>
          </w:p>
        </w:tc>
        <w:tc>
          <w:tcPr>
            <w:tcW w:type="dxa" w:w="1560"/>
          </w:tcPr>
          <w:p>
            <w:r>
              <w:t>4.3</w:t>
            </w:r>
          </w:p>
        </w:tc>
        <w:tc>
          <w:tcPr>
            <w:tcW w:type="dxa" w:w="1560"/>
          </w:tcPr>
          <w:p>
            <w:r>
              <w:t>1.014 ± 0.166</w:t>
            </w:r>
          </w:p>
        </w:tc>
      </w:tr>
    </w:tbl>
    <w:p>
      <w:pPr>
        <w:spacing w:after="80"/>
      </w:pPr>
      <w:r>
        <w:rPr>
          <w:b w:val="0"/>
          <w:i w:val="0"/>
          <w:sz w:val="12"/>
        </w:rPr>
      </w:r>
    </w:p>
    <w:p>
      <w:pPr>
        <w:spacing w:after="120"/>
      </w:pPr>
      <w:r>
        <w:rPr>
          <w:b w:val="0"/>
          <w:i/>
          <w:sz w:val="18"/>
        </w:rPr>
        <w:t>Note: All decadally-updated models run 1970–2023 with parameters refreshed every 10 years. TFR* = TFR / (1 − dMAC/dt) (Bongaarts and Feeney 1998). Final ratio = model population / observed population in 2023.</w:t>
      </w:r>
    </w:p>
    <w:p>
      <w:r>
        <w:br w:type="page"/>
      </w:r>
    </w:p>
    <w:p>
      <w:pPr>
        <w:spacing w:after="80"/>
      </w:pPr>
      <w:r>
        <w:rPr>
          <w:b w:val="0"/>
          <w:i w:val="0"/>
          <w:sz w:val="22"/>
        </w:rPr>
        <w:t>Table 3: Counterfactual tempo analysis — population impact of observed MAC increase, selected countries</w:t>
      </w:r>
    </w:p>
    <w:tbl>
      <w:tblPr>
        <w:tblStyle w:val="LightShading-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t>Country</w:t>
            </w:r>
          </w:p>
        </w:tc>
        <w:tc>
          <w:tcPr>
            <w:tcW w:type="dxa" w:w="1560"/>
          </w:tcPr>
          <w:p>
            <w:r>
              <w:t>MAC 1970</w:t>
            </w:r>
          </w:p>
        </w:tc>
        <w:tc>
          <w:tcPr>
            <w:tcW w:type="dxa" w:w="1560"/>
          </w:tcPr>
          <w:p>
            <w:r>
              <w:t>MAC 2020s</w:t>
            </w:r>
          </w:p>
        </w:tc>
        <w:tc>
          <w:tcPr>
            <w:tcW w:type="dxa" w:w="1560"/>
          </w:tcPr>
          <w:p>
            <w:r>
              <w:t>ΔMAC (yrs)</w:t>
            </w:r>
          </w:p>
        </w:tc>
        <w:tc>
          <w:tcPr>
            <w:tcW w:type="dxa" w:w="1560"/>
          </w:tcPr>
          <w:p>
            <w:r>
              <w:t>Tempo effect</w:t>
              <w:br/>
              <w:t>on SLP (%)</w:t>
            </w:r>
          </w:p>
        </w:tc>
        <w:tc>
          <w:tcPr>
            <w:tcW w:type="dxa" w:w="1560"/>
          </w:tcPr>
          <w:p>
            <w:r>
              <w:t>Equivalent</w:t>
              <w:br/>
              <w:t>TFR-years</w:t>
            </w:r>
          </w:p>
        </w:tc>
      </w:tr>
      <w:tr>
        <w:tc>
          <w:tcPr>
            <w:tcW w:type="dxa" w:w="1560"/>
          </w:tcPr>
          <w:p>
            <w:r>
              <w:t>Japan</w:t>
            </w:r>
          </w:p>
        </w:tc>
        <w:tc>
          <w:tcPr>
            <w:tcW w:type="dxa" w:w="1560"/>
          </w:tcPr>
          <w:p>
            <w:r>
              <w:t>27.5</w:t>
            </w:r>
          </w:p>
        </w:tc>
        <w:tc>
          <w:tcPr>
            <w:tcW w:type="dxa" w:w="1560"/>
          </w:tcPr>
          <w:p>
            <w:r>
              <w:t>31.4</w:t>
            </w:r>
          </w:p>
        </w:tc>
        <w:tc>
          <w:tcPr>
            <w:tcW w:type="dxa" w:w="1560"/>
          </w:tcPr>
          <w:p>
            <w:r>
              <w:t>+3.9</w:t>
            </w:r>
          </w:p>
        </w:tc>
        <w:tc>
          <w:tcPr>
            <w:tcW w:type="dxa" w:w="1560"/>
          </w:tcPr>
          <w:p>
            <w:r>
              <w:t>−13.0</w:t>
            </w:r>
          </w:p>
        </w:tc>
        <w:tc>
          <w:tcPr>
            <w:tcW w:type="dxa" w:w="1560"/>
          </w:tcPr>
          <w:p>
            <w:r>
              <w:t>~28</w:t>
            </w:r>
          </w:p>
        </w:tc>
      </w:tr>
      <w:tr>
        <w:tc>
          <w:tcPr>
            <w:tcW w:type="dxa" w:w="1560"/>
          </w:tcPr>
          <w:p>
            <w:r>
              <w:t>Korea</w:t>
            </w:r>
          </w:p>
        </w:tc>
        <w:tc>
          <w:tcPr>
            <w:tcW w:type="dxa" w:w="1560"/>
          </w:tcPr>
          <w:p>
            <w:r>
              <w:t>26.1</w:t>
            </w:r>
          </w:p>
        </w:tc>
        <w:tc>
          <w:tcPr>
            <w:tcW w:type="dxa" w:w="1560"/>
          </w:tcPr>
          <w:p>
            <w:r>
              <w:t>33.4</w:t>
            </w:r>
          </w:p>
        </w:tc>
        <w:tc>
          <w:tcPr>
            <w:tcW w:type="dxa" w:w="1560"/>
          </w:tcPr>
          <w:p>
            <w:r>
              <w:t>+7.3</w:t>
            </w:r>
          </w:p>
        </w:tc>
        <w:tc>
          <w:tcPr>
            <w:tcW w:type="dxa" w:w="1560"/>
          </w:tcPr>
          <w:p>
            <w:r>
              <w:t>−21.9</w:t>
            </w:r>
          </w:p>
        </w:tc>
        <w:tc>
          <w:tcPr>
            <w:tcW w:type="dxa" w:w="1560"/>
          </w:tcPr>
          <w:p>
            <w:r>
              <w:t>~45</w:t>
            </w:r>
          </w:p>
        </w:tc>
      </w:tr>
      <w:tr>
        <w:tc>
          <w:tcPr>
            <w:tcW w:type="dxa" w:w="1560"/>
          </w:tcPr>
          <w:p>
            <w:r>
              <w:t>Italy</w:t>
            </w:r>
          </w:p>
        </w:tc>
        <w:tc>
          <w:tcPr>
            <w:tcW w:type="dxa" w:w="1560"/>
          </w:tcPr>
          <w:p>
            <w:r>
              <w:t>27.2</w:t>
            </w:r>
          </w:p>
        </w:tc>
        <w:tc>
          <w:tcPr>
            <w:tcW w:type="dxa" w:w="1560"/>
          </w:tcPr>
          <w:p>
            <w:r>
              <w:t>31.6</w:t>
            </w:r>
          </w:p>
        </w:tc>
        <w:tc>
          <w:tcPr>
            <w:tcW w:type="dxa" w:w="1560"/>
          </w:tcPr>
          <w:p>
            <w:r>
              <w:t>+4.4</w:t>
            </w:r>
          </w:p>
        </w:tc>
        <w:tc>
          <w:tcPr>
            <w:tcW w:type="dxa" w:w="1560"/>
          </w:tcPr>
          <w:p>
            <w:r>
              <w:t>−14.6</w:t>
            </w:r>
          </w:p>
        </w:tc>
        <w:tc>
          <w:tcPr>
            <w:tcW w:type="dxa" w:w="1560"/>
          </w:tcPr>
          <w:p>
            <w:r>
              <w:t>~31</w:t>
            </w:r>
          </w:p>
        </w:tc>
      </w:tr>
      <w:tr>
        <w:tc>
          <w:tcPr>
            <w:tcW w:type="dxa" w:w="1560"/>
          </w:tcPr>
          <w:p>
            <w:r>
              <w:t>Spain</w:t>
            </w:r>
          </w:p>
        </w:tc>
        <w:tc>
          <w:tcPr>
            <w:tcW w:type="dxa" w:w="1560"/>
          </w:tcPr>
          <w:p>
            <w:r>
              <w:t>28.2</w:t>
            </w:r>
          </w:p>
        </w:tc>
        <w:tc>
          <w:tcPr>
            <w:tcW w:type="dxa" w:w="1560"/>
          </w:tcPr>
          <w:p>
            <w:r>
              <w:t>32.3</w:t>
            </w:r>
          </w:p>
        </w:tc>
        <w:tc>
          <w:tcPr>
            <w:tcW w:type="dxa" w:w="1560"/>
          </w:tcPr>
          <w:p>
            <w:r>
              <w:t>+4.1</w:t>
            </w:r>
          </w:p>
        </w:tc>
        <w:tc>
          <w:tcPr>
            <w:tcW w:type="dxa" w:w="1560"/>
          </w:tcPr>
          <w:p>
            <w:r>
              <w:t>−13.5</w:t>
            </w:r>
          </w:p>
        </w:tc>
        <w:tc>
          <w:tcPr>
            <w:tcW w:type="dxa" w:w="1560"/>
          </w:tcPr>
          <w:p>
            <w:r>
              <w:t>~29</w:t>
            </w:r>
          </w:p>
        </w:tc>
      </w:tr>
      <w:tr>
        <w:tc>
          <w:tcPr>
            <w:tcW w:type="dxa" w:w="1560"/>
          </w:tcPr>
          <w:p>
            <w:r>
              <w:t>Germany</w:t>
            </w:r>
          </w:p>
        </w:tc>
        <w:tc>
          <w:tcPr>
            <w:tcW w:type="dxa" w:w="1560"/>
          </w:tcPr>
          <w:p>
            <w:r>
              <w:t>27.0</w:t>
            </w:r>
          </w:p>
        </w:tc>
        <w:tc>
          <w:tcPr>
            <w:tcW w:type="dxa" w:w="1560"/>
          </w:tcPr>
          <w:p>
            <w:r>
              <w:t>30.5</w:t>
            </w:r>
          </w:p>
        </w:tc>
        <w:tc>
          <w:tcPr>
            <w:tcW w:type="dxa" w:w="1560"/>
          </w:tcPr>
          <w:p>
            <w:r>
              <w:t>+3.5</w:t>
            </w:r>
          </w:p>
        </w:tc>
        <w:tc>
          <w:tcPr>
            <w:tcW w:type="dxa" w:w="1560"/>
          </w:tcPr>
          <w:p>
            <w:r>
              <w:t>−11.5</w:t>
            </w:r>
          </w:p>
        </w:tc>
        <w:tc>
          <w:tcPr>
            <w:tcW w:type="dxa" w:w="1560"/>
          </w:tcPr>
          <w:p>
            <w:r>
              <w:t>~24</w:t>
            </w:r>
          </w:p>
        </w:tc>
      </w:tr>
      <w:tr>
        <w:tc>
          <w:tcPr>
            <w:tcW w:type="dxa" w:w="1560"/>
          </w:tcPr>
          <w:p>
            <w:r>
              <w:t>France</w:t>
            </w:r>
          </w:p>
        </w:tc>
        <w:tc>
          <w:tcPr>
            <w:tcW w:type="dxa" w:w="1560"/>
          </w:tcPr>
          <w:p>
            <w:r>
              <w:t>27.1</w:t>
            </w:r>
          </w:p>
        </w:tc>
        <w:tc>
          <w:tcPr>
            <w:tcW w:type="dxa" w:w="1560"/>
          </w:tcPr>
          <w:p>
            <w:r>
              <w:t>30.7</w:t>
            </w:r>
          </w:p>
        </w:tc>
        <w:tc>
          <w:tcPr>
            <w:tcW w:type="dxa" w:w="1560"/>
          </w:tcPr>
          <w:p>
            <w:r>
              <w:t>+3.6</w:t>
            </w:r>
          </w:p>
        </w:tc>
        <w:tc>
          <w:tcPr>
            <w:tcW w:type="dxa" w:w="1560"/>
          </w:tcPr>
          <w:p>
            <w:r>
              <w:t>−11.7</w:t>
            </w:r>
          </w:p>
        </w:tc>
        <w:tc>
          <w:tcPr>
            <w:tcW w:type="dxa" w:w="1560"/>
          </w:tcPr>
          <w:p>
            <w:r>
              <w:t>~25</w:t>
            </w:r>
          </w:p>
        </w:tc>
      </w:tr>
      <w:tr>
        <w:tc>
          <w:tcPr>
            <w:tcW w:type="dxa" w:w="1560"/>
          </w:tcPr>
          <w:p>
            <w:r>
              <w:t>United Kingdom</w:t>
            </w:r>
          </w:p>
        </w:tc>
        <w:tc>
          <w:tcPr>
            <w:tcW w:type="dxa" w:w="1560"/>
          </w:tcPr>
          <w:p>
            <w:r>
              <w:t>26.7</w:t>
            </w:r>
          </w:p>
        </w:tc>
        <w:tc>
          <w:tcPr>
            <w:tcW w:type="dxa" w:w="1560"/>
          </w:tcPr>
          <w:p>
            <w:r>
              <w:t>30.7</w:t>
            </w:r>
          </w:p>
        </w:tc>
        <w:tc>
          <w:tcPr>
            <w:tcW w:type="dxa" w:w="1560"/>
          </w:tcPr>
          <w:p>
            <w:r>
              <w:t>+4.0</w:t>
            </w:r>
          </w:p>
        </w:tc>
        <w:tc>
          <w:tcPr>
            <w:tcW w:type="dxa" w:w="1560"/>
          </w:tcPr>
          <w:p>
            <w:r>
              <w:t>−13.0</w:t>
            </w:r>
          </w:p>
        </w:tc>
        <w:tc>
          <w:tcPr>
            <w:tcW w:type="dxa" w:w="1560"/>
          </w:tcPr>
          <w:p>
            <w:r>
              <w:t>~27</w:t>
            </w:r>
          </w:p>
        </w:tc>
      </w:tr>
      <w:tr>
        <w:tc>
          <w:tcPr>
            <w:tcW w:type="dxa" w:w="1560"/>
          </w:tcPr>
          <w:p>
            <w:r>
              <w:t>Netherlands</w:t>
            </w:r>
          </w:p>
        </w:tc>
        <w:tc>
          <w:tcPr>
            <w:tcW w:type="dxa" w:w="1560"/>
          </w:tcPr>
          <w:p>
            <w:r>
              <w:t>28.0</w:t>
            </w:r>
          </w:p>
        </w:tc>
        <w:tc>
          <w:tcPr>
            <w:tcW w:type="dxa" w:w="1560"/>
          </w:tcPr>
          <w:p>
            <w:r>
              <w:t>31.0</w:t>
            </w:r>
          </w:p>
        </w:tc>
        <w:tc>
          <w:tcPr>
            <w:tcW w:type="dxa" w:w="1560"/>
          </w:tcPr>
          <w:p>
            <w:r>
              <w:t>+3.0</w:t>
            </w:r>
          </w:p>
        </w:tc>
        <w:tc>
          <w:tcPr>
            <w:tcW w:type="dxa" w:w="1560"/>
          </w:tcPr>
          <w:p>
            <w:r>
              <w:t>−10.0</w:t>
            </w:r>
          </w:p>
        </w:tc>
        <w:tc>
          <w:tcPr>
            <w:tcW w:type="dxa" w:w="1560"/>
          </w:tcPr>
          <w:p>
            <w:r>
              <w:t>~21</w:t>
            </w:r>
          </w:p>
        </w:tc>
      </w:tr>
      <w:tr>
        <w:tc>
          <w:tcPr>
            <w:tcW w:type="dxa" w:w="1560"/>
          </w:tcPr>
          <w:p>
            <w:r>
              <w:t>Czechia</w:t>
            </w:r>
          </w:p>
        </w:tc>
        <w:tc>
          <w:tcPr>
            <w:tcW w:type="dxa" w:w="1560"/>
          </w:tcPr>
          <w:p>
            <w:r>
              <w:t>24.4</w:t>
            </w:r>
          </w:p>
        </w:tc>
        <w:tc>
          <w:tcPr>
            <w:tcW w:type="dxa" w:w="1560"/>
          </w:tcPr>
          <w:p>
            <w:r>
              <w:t>30.1</w:t>
            </w:r>
          </w:p>
        </w:tc>
        <w:tc>
          <w:tcPr>
            <w:tcW w:type="dxa" w:w="1560"/>
          </w:tcPr>
          <w:p>
            <w:r>
              <w:t>+5.7</w:t>
            </w:r>
          </w:p>
        </w:tc>
        <w:tc>
          <w:tcPr>
            <w:tcW w:type="dxa" w:w="1560"/>
          </w:tcPr>
          <w:p>
            <w:r>
              <w:t>−18.9</w:t>
            </w:r>
          </w:p>
        </w:tc>
        <w:tc>
          <w:tcPr>
            <w:tcW w:type="dxa" w:w="1560"/>
          </w:tcPr>
          <w:p>
            <w:r>
              <w:t>~39</w:t>
            </w:r>
          </w:p>
        </w:tc>
      </w:tr>
      <w:tr>
        <w:tc>
          <w:tcPr>
            <w:tcW w:type="dxa" w:w="1560"/>
          </w:tcPr>
          <w:p>
            <w:r>
              <w:t>Poland</w:t>
            </w:r>
          </w:p>
        </w:tc>
        <w:tc>
          <w:tcPr>
            <w:tcW w:type="dxa" w:w="1560"/>
          </w:tcPr>
          <w:p>
            <w:r>
              <w:t>25.8</w:t>
            </w:r>
          </w:p>
        </w:tc>
        <w:tc>
          <w:tcPr>
            <w:tcW w:type="dxa" w:w="1560"/>
          </w:tcPr>
          <w:p>
            <w:r>
              <w:t>30.3</w:t>
            </w:r>
          </w:p>
        </w:tc>
        <w:tc>
          <w:tcPr>
            <w:tcW w:type="dxa" w:w="1560"/>
          </w:tcPr>
          <w:p>
            <w:r>
              <w:t>+4.5</w:t>
            </w:r>
          </w:p>
        </w:tc>
        <w:tc>
          <w:tcPr>
            <w:tcW w:type="dxa" w:w="1560"/>
          </w:tcPr>
          <w:p>
            <w:r>
              <w:t>−14.9</w:t>
            </w:r>
          </w:p>
        </w:tc>
        <w:tc>
          <w:tcPr>
            <w:tcW w:type="dxa" w:w="1560"/>
          </w:tcPr>
          <w:p>
            <w:r>
              <w:t>~31</w:t>
            </w:r>
          </w:p>
        </w:tc>
      </w:tr>
      <w:tr>
        <w:tc>
          <w:tcPr>
            <w:tcW w:type="dxa" w:w="1560"/>
          </w:tcPr>
          <w:p>
            <w:r>
              <w:t>Australia</w:t>
            </w:r>
          </w:p>
        </w:tc>
        <w:tc>
          <w:tcPr>
            <w:tcW w:type="dxa" w:w="1560"/>
          </w:tcPr>
          <w:p>
            <w:r>
              <w:t>27.1</w:t>
            </w:r>
          </w:p>
        </w:tc>
        <w:tc>
          <w:tcPr>
            <w:tcW w:type="dxa" w:w="1560"/>
          </w:tcPr>
          <w:p>
            <w:r>
              <w:t>31.1</w:t>
            </w:r>
          </w:p>
        </w:tc>
        <w:tc>
          <w:tcPr>
            <w:tcW w:type="dxa" w:w="1560"/>
          </w:tcPr>
          <w:p>
            <w:r>
              <w:t>+4.0</w:t>
            </w:r>
          </w:p>
        </w:tc>
        <w:tc>
          <w:tcPr>
            <w:tcW w:type="dxa" w:w="1560"/>
          </w:tcPr>
          <w:p>
            <w:r>
              <w:t>−12.9</w:t>
            </w:r>
          </w:p>
        </w:tc>
        <w:tc>
          <w:tcPr>
            <w:tcW w:type="dxa" w:w="1560"/>
          </w:tcPr>
          <w:p>
            <w:r>
              <w:t>~27</w:t>
            </w:r>
          </w:p>
        </w:tc>
      </w:tr>
      <w:tr>
        <w:tc>
          <w:tcPr>
            <w:tcW w:type="dxa" w:w="1560"/>
          </w:tcPr>
          <w:p>
            <w:r>
              <w:t>Canada</w:t>
            </w:r>
          </w:p>
        </w:tc>
        <w:tc>
          <w:tcPr>
            <w:tcW w:type="dxa" w:w="1560"/>
          </w:tcPr>
          <w:p>
            <w:r>
              <w:t>27.0</w:t>
            </w:r>
          </w:p>
        </w:tc>
        <w:tc>
          <w:tcPr>
            <w:tcW w:type="dxa" w:w="1560"/>
          </w:tcPr>
          <w:p>
            <w:r>
              <w:t>30.9</w:t>
            </w:r>
          </w:p>
        </w:tc>
        <w:tc>
          <w:tcPr>
            <w:tcW w:type="dxa" w:w="1560"/>
          </w:tcPr>
          <w:p>
            <w:r>
              <w:t>+3.9</w:t>
            </w:r>
          </w:p>
        </w:tc>
        <w:tc>
          <w:tcPr>
            <w:tcW w:type="dxa" w:w="1560"/>
          </w:tcPr>
          <w:p>
            <w:r>
              <w:t>−12.6</w:t>
            </w:r>
          </w:p>
        </w:tc>
        <w:tc>
          <w:tcPr>
            <w:tcW w:type="dxa" w:w="1560"/>
          </w:tcPr>
          <w:p>
            <w:r>
              <w:t>~26</w:t>
            </w:r>
          </w:p>
        </w:tc>
      </w:tr>
      <w:tr>
        <w:tc>
          <w:tcPr>
            <w:tcW w:type="dxa" w:w="1560"/>
          </w:tcPr>
          <w:p>
            <w:r>
              <w:t>USA</w:t>
            </w:r>
          </w:p>
        </w:tc>
        <w:tc>
          <w:tcPr>
            <w:tcW w:type="dxa" w:w="1560"/>
          </w:tcPr>
          <w:p>
            <w:r>
              <w:t>25.4</w:t>
            </w:r>
          </w:p>
        </w:tc>
        <w:tc>
          <w:tcPr>
            <w:tcW w:type="dxa" w:w="1560"/>
          </w:tcPr>
          <w:p>
            <w:r>
              <w:t>29.3</w:t>
            </w:r>
          </w:p>
        </w:tc>
        <w:tc>
          <w:tcPr>
            <w:tcW w:type="dxa" w:w="1560"/>
          </w:tcPr>
          <w:p>
            <w:r>
              <w:t>+3.9</w:t>
            </w:r>
          </w:p>
        </w:tc>
        <w:tc>
          <w:tcPr>
            <w:tcW w:type="dxa" w:w="1560"/>
          </w:tcPr>
          <w:p>
            <w:r>
              <w:t>−13.3</w:t>
            </w:r>
          </w:p>
        </w:tc>
        <w:tc>
          <w:tcPr>
            <w:tcW w:type="dxa" w:w="1560"/>
          </w:tcPr>
          <w:p>
            <w:r>
              <w:t>~28</w:t>
            </w:r>
          </w:p>
        </w:tc>
      </w:tr>
      <w:tr>
        <w:tc>
          <w:tcPr>
            <w:tcW w:type="dxa" w:w="1560"/>
          </w:tcPr>
          <w:p>
            <w:r>
              <w:t>Sweden</w:t>
            </w:r>
          </w:p>
        </w:tc>
        <w:tc>
          <w:tcPr>
            <w:tcW w:type="dxa" w:w="1560"/>
          </w:tcPr>
          <w:p>
            <w:r>
              <w:t>27.3</w:t>
            </w:r>
          </w:p>
        </w:tc>
        <w:tc>
          <w:tcPr>
            <w:tcW w:type="dxa" w:w="1560"/>
          </w:tcPr>
          <w:p>
            <w:r>
              <w:t>31.2</w:t>
            </w:r>
          </w:p>
        </w:tc>
        <w:tc>
          <w:tcPr>
            <w:tcW w:type="dxa" w:w="1560"/>
          </w:tcPr>
          <w:p>
            <w:r>
              <w:t>+3.9</w:t>
            </w:r>
          </w:p>
        </w:tc>
        <w:tc>
          <w:tcPr>
            <w:tcW w:type="dxa" w:w="1560"/>
          </w:tcPr>
          <w:p>
            <w:r>
              <w:t>−12.5</w:t>
            </w:r>
          </w:p>
        </w:tc>
        <w:tc>
          <w:tcPr>
            <w:tcW w:type="dxa" w:w="1560"/>
          </w:tcPr>
          <w:p>
            <w:r>
              <w:t>~26</w:t>
            </w:r>
          </w:p>
        </w:tc>
      </w:tr>
      <w:tr>
        <w:tc>
          <w:tcPr>
            <w:tcW w:type="dxa" w:w="1560"/>
          </w:tcPr>
          <w:p>
            <w:r>
              <w:t>Finland</w:t>
            </w:r>
          </w:p>
        </w:tc>
        <w:tc>
          <w:tcPr>
            <w:tcW w:type="dxa" w:w="1560"/>
          </w:tcPr>
          <w:p>
            <w:r>
              <w:t>27.4</w:t>
            </w:r>
          </w:p>
        </w:tc>
        <w:tc>
          <w:tcPr>
            <w:tcW w:type="dxa" w:w="1560"/>
          </w:tcPr>
          <w:p>
            <w:r>
              <w:t>31.3</w:t>
            </w:r>
          </w:p>
        </w:tc>
        <w:tc>
          <w:tcPr>
            <w:tcW w:type="dxa" w:w="1560"/>
          </w:tcPr>
          <w:p>
            <w:r>
              <w:t>+3.9</w:t>
            </w:r>
          </w:p>
        </w:tc>
        <w:tc>
          <w:tcPr>
            <w:tcW w:type="dxa" w:w="1560"/>
          </w:tcPr>
          <w:p>
            <w:r>
              <w:t>−12.5</w:t>
            </w:r>
          </w:p>
        </w:tc>
        <w:tc>
          <w:tcPr>
            <w:tcW w:type="dxa" w:w="1560"/>
          </w:tcPr>
          <w:p>
            <w:r>
              <w:t>~26</w:t>
            </w:r>
          </w:p>
        </w:tc>
      </w:tr>
      <w:tr>
        <w:tc>
          <w:tcPr>
            <w:tcW w:type="dxa" w:w="1560"/>
          </w:tcPr>
          <w:p>
            <w:r>
              <w:t>Switzerland</w:t>
            </w:r>
          </w:p>
        </w:tc>
        <w:tc>
          <w:tcPr>
            <w:tcW w:type="dxa" w:w="1560"/>
          </w:tcPr>
          <w:p>
            <w:r>
              <w:t>28.0</w:t>
            </w:r>
          </w:p>
        </w:tc>
        <w:tc>
          <w:tcPr>
            <w:tcW w:type="dxa" w:w="1560"/>
          </w:tcPr>
          <w:p>
            <w:r>
              <w:t>32.0</w:t>
            </w:r>
          </w:p>
        </w:tc>
        <w:tc>
          <w:tcPr>
            <w:tcW w:type="dxa" w:w="1560"/>
          </w:tcPr>
          <w:p>
            <w:r>
              <w:t>+4.0</w:t>
            </w:r>
          </w:p>
        </w:tc>
        <w:tc>
          <w:tcPr>
            <w:tcW w:type="dxa" w:w="1560"/>
          </w:tcPr>
          <w:p>
            <w:r>
              <w:t>−12.5</w:t>
            </w:r>
          </w:p>
        </w:tc>
        <w:tc>
          <w:tcPr>
            <w:tcW w:type="dxa" w:w="1560"/>
          </w:tcPr>
          <w:p>
            <w:r>
              <w:t>~26</w:t>
            </w:r>
          </w:p>
        </w:tc>
      </w:tr>
      <w:tr>
        <w:tc>
          <w:tcPr>
            <w:tcW w:type="dxa" w:w="1560"/>
          </w:tcPr>
          <w:p>
            <w:r>
              <w:t>Greece</w:t>
            </w:r>
          </w:p>
        </w:tc>
        <w:tc>
          <w:tcPr>
            <w:tcW w:type="dxa" w:w="1560"/>
          </w:tcPr>
          <w:p>
            <w:r>
              <w:t>27.3</w:t>
            </w:r>
          </w:p>
        </w:tc>
        <w:tc>
          <w:tcPr>
            <w:tcW w:type="dxa" w:w="1560"/>
          </w:tcPr>
          <w:p>
            <w:r>
              <w:t>31.5</w:t>
            </w:r>
          </w:p>
        </w:tc>
        <w:tc>
          <w:tcPr>
            <w:tcW w:type="dxa" w:w="1560"/>
          </w:tcPr>
          <w:p>
            <w:r>
              <w:t>+4.2</w:t>
            </w:r>
          </w:p>
        </w:tc>
        <w:tc>
          <w:tcPr>
            <w:tcW w:type="dxa" w:w="1560"/>
          </w:tcPr>
          <w:p>
            <w:r>
              <w:t>−13.3</w:t>
            </w:r>
          </w:p>
        </w:tc>
        <w:tc>
          <w:tcPr>
            <w:tcW w:type="dxa" w:w="1560"/>
          </w:tcPr>
          <w:p>
            <w:r>
              <w:t>~28</w:t>
            </w:r>
          </w:p>
        </w:tc>
      </w:tr>
      <w:tr>
        <w:tc>
          <w:tcPr>
            <w:tcW w:type="dxa" w:w="1560"/>
          </w:tcPr>
          <w:p>
            <w:r>
              <w:t>Portugal</w:t>
            </w:r>
          </w:p>
        </w:tc>
        <w:tc>
          <w:tcPr>
            <w:tcW w:type="dxa" w:w="1560"/>
          </w:tcPr>
          <w:p>
            <w:r>
              <w:t>27.0</w:t>
            </w:r>
          </w:p>
        </w:tc>
        <w:tc>
          <w:tcPr>
            <w:tcW w:type="dxa" w:w="1560"/>
          </w:tcPr>
          <w:p>
            <w:r>
              <w:t>31.4</w:t>
            </w:r>
          </w:p>
        </w:tc>
        <w:tc>
          <w:tcPr>
            <w:tcW w:type="dxa" w:w="1560"/>
          </w:tcPr>
          <w:p>
            <w:r>
              <w:t>+4.4</w:t>
            </w:r>
          </w:p>
        </w:tc>
        <w:tc>
          <w:tcPr>
            <w:tcW w:type="dxa" w:w="1560"/>
          </w:tcPr>
          <w:p>
            <w:r>
              <w:t>−14.0</w:t>
            </w:r>
          </w:p>
        </w:tc>
        <w:tc>
          <w:tcPr>
            <w:tcW w:type="dxa" w:w="1560"/>
          </w:tcPr>
          <w:p>
            <w:r>
              <w:t>~29</w:t>
            </w:r>
          </w:p>
        </w:tc>
      </w:tr>
      <w:tr>
        <w:tc>
          <w:tcPr>
            <w:tcW w:type="dxa" w:w="1560"/>
          </w:tcPr>
          <w:p>
            <w:r>
              <w:t>China</w:t>
            </w:r>
          </w:p>
        </w:tc>
        <w:tc>
          <w:tcPr>
            <w:tcW w:type="dxa" w:w="1560"/>
          </w:tcPr>
          <w:p>
            <w:r>
              <w:t>29.2</w:t>
            </w:r>
          </w:p>
        </w:tc>
        <w:tc>
          <w:tcPr>
            <w:tcW w:type="dxa" w:w="1560"/>
          </w:tcPr>
          <w:p>
            <w:r>
              <w:t>28.4</w:t>
            </w:r>
          </w:p>
        </w:tc>
        <w:tc>
          <w:tcPr>
            <w:tcW w:type="dxa" w:w="1560"/>
          </w:tcPr>
          <w:p>
            <w:r>
              <w:t>−0.8</w:t>
            </w:r>
          </w:p>
        </w:tc>
        <w:tc>
          <w:tcPr>
            <w:tcW w:type="dxa" w:w="1560"/>
          </w:tcPr>
          <w:p>
            <w:r>
              <w:t>+2.8</w:t>
            </w:r>
          </w:p>
        </w:tc>
        <w:tc>
          <w:tcPr>
            <w:tcW w:type="dxa" w:w="1560"/>
          </w:tcPr>
          <w:p>
            <w:r>
              <w:t>n/a</w:t>
            </w:r>
          </w:p>
        </w:tc>
      </w:tr>
      <w:tr>
        <w:tc>
          <w:tcPr>
            <w:tcW w:type="dxa" w:w="1560"/>
          </w:tcPr>
          <w:p>
            <w:r>
              <w:t>DRC</w:t>
            </w:r>
          </w:p>
        </w:tc>
        <w:tc>
          <w:tcPr>
            <w:tcW w:type="dxa" w:w="1560"/>
          </w:tcPr>
          <w:p>
            <w:r>
              <w:t>24.8</w:t>
            </w:r>
          </w:p>
        </w:tc>
        <w:tc>
          <w:tcPr>
            <w:tcW w:type="dxa" w:w="1560"/>
          </w:tcPr>
          <w:p>
            <w:r>
              <w:t>24.8</w:t>
            </w:r>
          </w:p>
        </w:tc>
        <w:tc>
          <w:tcPr>
            <w:tcW w:type="dxa" w:w="1560"/>
          </w:tcPr>
          <w:p>
            <w:r>
              <w:t>0.0</w:t>
            </w:r>
          </w:p>
        </w:tc>
        <w:tc>
          <w:tcPr>
            <w:tcW w:type="dxa" w:w="1560"/>
          </w:tcPr>
          <w:p>
            <w:r>
              <w:t>0.0</w:t>
            </w:r>
          </w:p>
        </w:tc>
        <w:tc>
          <w:tcPr>
            <w:tcW w:type="dxa" w:w="1560"/>
          </w:tcPr>
          <w:p>
            <w:r>
              <w:t>n/a</w:t>
            </w:r>
          </w:p>
        </w:tc>
      </w:tr>
    </w:tbl>
    <w:p>
      <w:pPr>
        <w:spacing w:after="80"/>
      </w:pPr>
      <w:r>
        <w:rPr>
          <w:b w:val="0"/>
          <w:i w:val="0"/>
          <w:sz w:val="12"/>
        </w:rPr>
      </w:r>
    </w:p>
    <w:p>
      <w:pPr>
        <w:spacing w:after="240"/>
      </w:pPr>
      <w:r>
        <w:rPr>
          <w:b w:val="0"/>
          <w:i/>
          <w:sz w:val="18"/>
        </w:rPr>
        <w:t>Note: Tempo effect on SLP = percentage difference between baseline model (MAC evolves as observed) and tempo counterfactual (MAC held at 1970 value). Equivalent TFR-years = number of years of below-replacement fertility (TFR = 1.5) that would produce the same population reduction. China’s MAC declined, producing a positive tempo effect; DRC shows negligible MAC change.</w:t>
      </w:r>
    </w:p>
    <w:p>
      <w:r>
        <w:br w:type="page"/>
      </w:r>
    </w:p>
    <w:p>
      <w:pPr>
        <w:spacing w:after="80"/>
      </w:pPr>
      <w:r>
        <w:rPr>
          <w:b w:val="0"/>
          <w:i w:val="0"/>
          <w:sz w:val="22"/>
        </w:rPr>
        <w:t>Table 4: Decomposition of modelled population change (1970–2023) into quantum, tempo, and survival components</w:t>
      </w:r>
    </w:p>
    <w:tbl>
      <w:tblPr>
        <w:tblStyle w:val="LightShading-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t>Country</w:t>
            </w:r>
          </w:p>
        </w:tc>
        <w:tc>
          <w:tcPr>
            <w:tcW w:type="dxa" w:w="1560"/>
          </w:tcPr>
          <w:p>
            <w:r>
              <w:t>Total pop.</w:t>
              <w:br/>
              <w:t>change (%)</w:t>
            </w:r>
          </w:p>
        </w:tc>
        <w:tc>
          <w:tcPr>
            <w:tcW w:type="dxa" w:w="1560"/>
          </w:tcPr>
          <w:p>
            <w:r>
              <w:t>Quantum</w:t>
              <w:br/>
              <w:t>effect (%)</w:t>
            </w:r>
          </w:p>
        </w:tc>
        <w:tc>
          <w:tcPr>
            <w:tcW w:type="dxa" w:w="1560"/>
          </w:tcPr>
          <w:p>
            <w:r>
              <w:t>Tempo</w:t>
              <w:br/>
              <w:t>effect (%)</w:t>
            </w:r>
          </w:p>
        </w:tc>
        <w:tc>
          <w:tcPr>
            <w:tcW w:type="dxa" w:w="1560"/>
          </w:tcPr>
          <w:p>
            <w:r>
              <w:t>Survival</w:t>
              <w:br/>
              <w:t>effect (%)</w:t>
            </w:r>
          </w:p>
        </w:tc>
        <w:tc>
          <w:tcPr>
            <w:tcW w:type="dxa" w:w="1560"/>
          </w:tcPr>
          <w:p>
            <w:r>
              <w:t>Interaction</w:t>
              <w:br/>
              <w:t>(%)</w:t>
            </w:r>
          </w:p>
        </w:tc>
      </w:tr>
      <w:tr>
        <w:tc>
          <w:tcPr>
            <w:tcW w:type="dxa" w:w="1560"/>
          </w:tcPr>
          <w:p>
            <w:r>
              <w:t>Japan</w:t>
            </w:r>
          </w:p>
        </w:tc>
        <w:tc>
          <w:tcPr>
            <w:tcW w:type="dxa" w:w="1560"/>
          </w:tcPr>
          <w:p>
            <w:r>
              <w:t>−12.8</w:t>
            </w:r>
          </w:p>
        </w:tc>
        <w:tc>
          <w:tcPr>
            <w:tcW w:type="dxa" w:w="1560"/>
          </w:tcPr>
          <w:p>
            <w:r>
              <w:t>−32.1</w:t>
            </w:r>
          </w:p>
        </w:tc>
        <w:tc>
          <w:tcPr>
            <w:tcW w:type="dxa" w:w="1560"/>
          </w:tcPr>
          <w:p>
            <w:r>
              <w:t>−13.0</w:t>
            </w:r>
          </w:p>
        </w:tc>
        <w:tc>
          <w:tcPr>
            <w:tcW w:type="dxa" w:w="1560"/>
          </w:tcPr>
          <w:p>
            <w:r>
              <w:t>+28.4</w:t>
            </w:r>
          </w:p>
        </w:tc>
        <w:tc>
          <w:tcPr>
            <w:tcW w:type="dxa" w:w="1560"/>
          </w:tcPr>
          <w:p>
            <w:r>
              <w:t>+3.9</w:t>
            </w:r>
          </w:p>
        </w:tc>
      </w:tr>
      <w:tr>
        <w:tc>
          <w:tcPr>
            <w:tcW w:type="dxa" w:w="1560"/>
          </w:tcPr>
          <w:p>
            <w:r>
              <w:t>Korea</w:t>
            </w:r>
          </w:p>
        </w:tc>
        <w:tc>
          <w:tcPr>
            <w:tcW w:type="dxa" w:w="1560"/>
          </w:tcPr>
          <w:p>
            <w:r>
              <w:t>+7.3</w:t>
            </w:r>
          </w:p>
        </w:tc>
        <w:tc>
          <w:tcPr>
            <w:tcW w:type="dxa" w:w="1560"/>
          </w:tcPr>
          <w:p>
            <w:r>
              <w:t>−38.5</w:t>
            </w:r>
          </w:p>
        </w:tc>
        <w:tc>
          <w:tcPr>
            <w:tcW w:type="dxa" w:w="1560"/>
          </w:tcPr>
          <w:p>
            <w:r>
              <w:t>−21.9</w:t>
            </w:r>
          </w:p>
        </w:tc>
        <w:tc>
          <w:tcPr>
            <w:tcW w:type="dxa" w:w="1560"/>
          </w:tcPr>
          <w:p>
            <w:r>
              <w:t>+55.2</w:t>
            </w:r>
          </w:p>
        </w:tc>
        <w:tc>
          <w:tcPr>
            <w:tcW w:type="dxa" w:w="1560"/>
          </w:tcPr>
          <w:p>
            <w:r>
              <w:t>+12.5</w:t>
            </w:r>
          </w:p>
        </w:tc>
      </w:tr>
      <w:tr>
        <w:tc>
          <w:tcPr>
            <w:tcW w:type="dxa" w:w="1560"/>
          </w:tcPr>
          <w:p>
            <w:r>
              <w:t>Italy</w:t>
            </w:r>
          </w:p>
        </w:tc>
        <w:tc>
          <w:tcPr>
            <w:tcW w:type="dxa" w:w="1560"/>
          </w:tcPr>
          <w:p>
            <w:r>
              <w:t>−4.2</w:t>
            </w:r>
          </w:p>
        </w:tc>
        <w:tc>
          <w:tcPr>
            <w:tcW w:type="dxa" w:w="1560"/>
          </w:tcPr>
          <w:p>
            <w:r>
              <w:t>−28.7</w:t>
            </w:r>
          </w:p>
        </w:tc>
        <w:tc>
          <w:tcPr>
            <w:tcW w:type="dxa" w:w="1560"/>
          </w:tcPr>
          <w:p>
            <w:r>
              <w:t>−14.6</w:t>
            </w:r>
          </w:p>
        </w:tc>
        <w:tc>
          <w:tcPr>
            <w:tcW w:type="dxa" w:w="1560"/>
          </w:tcPr>
          <w:p>
            <w:r>
              <w:t>+34.8</w:t>
            </w:r>
          </w:p>
        </w:tc>
        <w:tc>
          <w:tcPr>
            <w:tcW w:type="dxa" w:w="1560"/>
          </w:tcPr>
          <w:p>
            <w:r>
              <w:t>+4.3</w:t>
            </w:r>
          </w:p>
        </w:tc>
      </w:tr>
      <w:tr>
        <w:tc>
          <w:tcPr>
            <w:tcW w:type="dxa" w:w="1560"/>
          </w:tcPr>
          <w:p>
            <w:r>
              <w:t>Germany</w:t>
            </w:r>
          </w:p>
        </w:tc>
        <w:tc>
          <w:tcPr>
            <w:tcW w:type="dxa" w:w="1560"/>
          </w:tcPr>
          <w:p>
            <w:r>
              <w:t>+0.3</w:t>
            </w:r>
          </w:p>
        </w:tc>
        <w:tc>
          <w:tcPr>
            <w:tcW w:type="dxa" w:w="1560"/>
          </w:tcPr>
          <w:p>
            <w:r>
              <w:t>−26.4</w:t>
            </w:r>
          </w:p>
        </w:tc>
        <w:tc>
          <w:tcPr>
            <w:tcW w:type="dxa" w:w="1560"/>
          </w:tcPr>
          <w:p>
            <w:r>
              <w:t>−11.5</w:t>
            </w:r>
          </w:p>
        </w:tc>
        <w:tc>
          <w:tcPr>
            <w:tcW w:type="dxa" w:w="1560"/>
          </w:tcPr>
          <w:p>
            <w:r>
              <w:t>+32.0</w:t>
            </w:r>
          </w:p>
        </w:tc>
        <w:tc>
          <w:tcPr>
            <w:tcW w:type="dxa" w:w="1560"/>
          </w:tcPr>
          <w:p>
            <w:r>
              <w:t>+6.2</w:t>
            </w:r>
          </w:p>
        </w:tc>
      </w:tr>
      <w:tr>
        <w:tc>
          <w:tcPr>
            <w:tcW w:type="dxa" w:w="1560"/>
          </w:tcPr>
          <w:p>
            <w:r>
              <w:t>France</w:t>
            </w:r>
          </w:p>
        </w:tc>
        <w:tc>
          <w:tcPr>
            <w:tcW w:type="dxa" w:w="1560"/>
          </w:tcPr>
          <w:p>
            <w:r>
              <w:t>+23.8</w:t>
            </w:r>
          </w:p>
        </w:tc>
        <w:tc>
          <w:tcPr>
            <w:tcW w:type="dxa" w:w="1560"/>
          </w:tcPr>
          <w:p>
            <w:r>
              <w:t>−8.3</w:t>
            </w:r>
          </w:p>
        </w:tc>
        <w:tc>
          <w:tcPr>
            <w:tcW w:type="dxa" w:w="1560"/>
          </w:tcPr>
          <w:p>
            <w:r>
              <w:t>−11.7</w:t>
            </w:r>
          </w:p>
        </w:tc>
        <w:tc>
          <w:tcPr>
            <w:tcW w:type="dxa" w:w="1560"/>
          </w:tcPr>
          <w:p>
            <w:r>
              <w:t>+38.2</w:t>
            </w:r>
          </w:p>
        </w:tc>
        <w:tc>
          <w:tcPr>
            <w:tcW w:type="dxa" w:w="1560"/>
          </w:tcPr>
          <w:p>
            <w:r>
              <w:t>+5.6</w:t>
            </w:r>
          </w:p>
        </w:tc>
      </w:tr>
      <w:tr>
        <w:tc>
          <w:tcPr>
            <w:tcW w:type="dxa" w:w="1560"/>
          </w:tcPr>
          <w:p>
            <w:r>
              <w:t>USA</w:t>
            </w:r>
          </w:p>
        </w:tc>
        <w:tc>
          <w:tcPr>
            <w:tcW w:type="dxa" w:w="1560"/>
          </w:tcPr>
          <w:p>
            <w:r>
              <w:t>+46.3</w:t>
            </w:r>
          </w:p>
        </w:tc>
        <w:tc>
          <w:tcPr>
            <w:tcW w:type="dxa" w:w="1560"/>
          </w:tcPr>
          <w:p>
            <w:r>
              <w:t>−12.4</w:t>
            </w:r>
          </w:p>
        </w:tc>
        <w:tc>
          <w:tcPr>
            <w:tcW w:type="dxa" w:w="1560"/>
          </w:tcPr>
          <w:p>
            <w:r>
              <w:t>−13.3</w:t>
            </w:r>
          </w:p>
        </w:tc>
        <w:tc>
          <w:tcPr>
            <w:tcW w:type="dxa" w:w="1560"/>
          </w:tcPr>
          <w:p>
            <w:r>
              <w:t>+58.7</w:t>
            </w:r>
          </w:p>
        </w:tc>
        <w:tc>
          <w:tcPr>
            <w:tcW w:type="dxa" w:w="1560"/>
          </w:tcPr>
          <w:p>
            <w:r>
              <w:t>+13.3</w:t>
            </w:r>
          </w:p>
        </w:tc>
      </w:tr>
      <w:tr>
        <w:tc>
          <w:tcPr>
            <w:tcW w:type="dxa" w:w="1560"/>
          </w:tcPr>
          <w:p>
            <w:r>
              <w:t>Czechia</w:t>
            </w:r>
          </w:p>
        </w:tc>
        <w:tc>
          <w:tcPr>
            <w:tcW w:type="dxa" w:w="1560"/>
          </w:tcPr>
          <w:p>
            <w:r>
              <w:t>−4.1</w:t>
            </w:r>
          </w:p>
        </w:tc>
        <w:tc>
          <w:tcPr>
            <w:tcW w:type="dxa" w:w="1560"/>
          </w:tcPr>
          <w:p>
            <w:r>
              <w:t>−22.0</w:t>
            </w:r>
          </w:p>
        </w:tc>
        <w:tc>
          <w:tcPr>
            <w:tcW w:type="dxa" w:w="1560"/>
          </w:tcPr>
          <w:p>
            <w:r>
              <w:t>−18.9</w:t>
            </w:r>
          </w:p>
        </w:tc>
        <w:tc>
          <w:tcPr>
            <w:tcW w:type="dxa" w:w="1560"/>
          </w:tcPr>
          <w:p>
            <w:r>
              <w:t>+30.6</w:t>
            </w:r>
          </w:p>
        </w:tc>
        <w:tc>
          <w:tcPr>
            <w:tcW w:type="dxa" w:w="1560"/>
          </w:tcPr>
          <w:p>
            <w:r>
              <w:t>+6.2</w:t>
            </w:r>
          </w:p>
        </w:tc>
      </w:tr>
      <w:tr>
        <w:tc>
          <w:tcPr>
            <w:tcW w:type="dxa" w:w="1560"/>
          </w:tcPr>
          <w:p>
            <w:r>
              <w:t>Sweden</w:t>
            </w:r>
          </w:p>
        </w:tc>
        <w:tc>
          <w:tcPr>
            <w:tcW w:type="dxa" w:w="1560"/>
          </w:tcPr>
          <w:p>
            <w:r>
              <w:t>+17.5</w:t>
            </w:r>
          </w:p>
        </w:tc>
        <w:tc>
          <w:tcPr>
            <w:tcW w:type="dxa" w:w="1560"/>
          </w:tcPr>
          <w:p>
            <w:r>
              <w:t>−5.1</w:t>
            </w:r>
          </w:p>
        </w:tc>
        <w:tc>
          <w:tcPr>
            <w:tcW w:type="dxa" w:w="1560"/>
          </w:tcPr>
          <w:p>
            <w:r>
              <w:t>−12.5</w:t>
            </w:r>
          </w:p>
        </w:tc>
        <w:tc>
          <w:tcPr>
            <w:tcW w:type="dxa" w:w="1560"/>
          </w:tcPr>
          <w:p>
            <w:r>
              <w:t>+28.4</w:t>
            </w:r>
          </w:p>
        </w:tc>
        <w:tc>
          <w:tcPr>
            <w:tcW w:type="dxa" w:w="1560"/>
          </w:tcPr>
          <w:p>
            <w:r>
              <w:t>+6.7</w:t>
            </w:r>
          </w:p>
        </w:tc>
      </w:tr>
      <w:tr>
        <w:tc>
          <w:tcPr>
            <w:tcW w:type="dxa" w:w="1560"/>
          </w:tcPr>
          <w:p>
            <w:r>
              <w:t>China</w:t>
            </w:r>
          </w:p>
        </w:tc>
        <w:tc>
          <w:tcPr>
            <w:tcW w:type="dxa" w:w="1560"/>
          </w:tcPr>
          <w:p>
            <w:r>
              <w:t>+56.1</w:t>
            </w:r>
          </w:p>
        </w:tc>
        <w:tc>
          <w:tcPr>
            <w:tcW w:type="dxa" w:w="1560"/>
          </w:tcPr>
          <w:p>
            <w:r>
              <w:t>−48.2</w:t>
            </w:r>
          </w:p>
        </w:tc>
        <w:tc>
          <w:tcPr>
            <w:tcW w:type="dxa" w:w="1560"/>
          </w:tcPr>
          <w:p>
            <w:r>
              <w:t>+2.8</w:t>
            </w:r>
          </w:p>
        </w:tc>
        <w:tc>
          <w:tcPr>
            <w:tcW w:type="dxa" w:w="1560"/>
          </w:tcPr>
          <w:p>
            <w:r>
              <w:t>+84.9</w:t>
            </w:r>
          </w:p>
        </w:tc>
        <w:tc>
          <w:tcPr>
            <w:tcW w:type="dxa" w:w="1560"/>
          </w:tcPr>
          <w:p>
            <w:r>
              <w:t>+16.6</w:t>
            </w:r>
          </w:p>
        </w:tc>
      </w:tr>
      <w:tr>
        <w:tc>
          <w:tcPr>
            <w:tcW w:type="dxa" w:w="1560"/>
          </w:tcPr>
          <w:p>
            <w:r>
              <w:t>DRC</w:t>
            </w:r>
          </w:p>
        </w:tc>
        <w:tc>
          <w:tcPr>
            <w:tcW w:type="dxa" w:w="1560"/>
          </w:tcPr>
          <w:p>
            <w:r>
              <w:t>+296.4</w:t>
            </w:r>
          </w:p>
        </w:tc>
        <w:tc>
          <w:tcPr>
            <w:tcW w:type="dxa" w:w="1560"/>
          </w:tcPr>
          <w:p>
            <w:r>
              <w:t>+156.2</w:t>
            </w:r>
          </w:p>
        </w:tc>
        <w:tc>
          <w:tcPr>
            <w:tcW w:type="dxa" w:w="1560"/>
          </w:tcPr>
          <w:p>
            <w:r>
              <w:t>0.0</w:t>
            </w:r>
          </w:p>
        </w:tc>
        <w:tc>
          <w:tcPr>
            <w:tcW w:type="dxa" w:w="1560"/>
          </w:tcPr>
          <w:p>
            <w:r>
              <w:t>+95.8</w:t>
            </w:r>
          </w:p>
        </w:tc>
        <w:tc>
          <w:tcPr>
            <w:tcW w:type="dxa" w:w="1560"/>
          </w:tcPr>
          <w:p>
            <w:r>
              <w:t>+44.4</w:t>
            </w:r>
          </w:p>
        </w:tc>
      </w:tr>
    </w:tbl>
    <w:p>
      <w:pPr>
        <w:spacing w:after="80"/>
      </w:pPr>
      <w:r>
        <w:rPr>
          <w:b w:val="0"/>
          <w:i w:val="0"/>
          <w:sz w:val="12"/>
        </w:rPr>
      </w:r>
    </w:p>
    <w:p>
      <w:pPr>
        <w:spacing w:after="240"/>
      </w:pPr>
      <w:r>
        <w:rPr>
          <w:b w:val="0"/>
          <w:i/>
          <w:sz w:val="18"/>
        </w:rPr>
        <w:t>Note: Quantum effect = difference between baseline and TFR-frozen counterfactual. Tempo effect = difference between baseline and MAC-frozen counterfactual. Survival effect = difference between baseline and e₀-frozen counterfactual. Interaction = residual from non-additive effects. Signs indicate direction: negative = reducing population relative to 1970 trajectory.</w:t>
      </w:r>
    </w:p>
    <w:p>
      <w:r>
        <w:br w:type="page"/>
      </w:r>
    </w:p>
    <w:p>
      <w:pPr>
        <w:spacing w:after="80"/>
      </w:pPr>
      <w:r>
        <w:rPr>
          <w:b w:val="0"/>
          <w:i w:val="0"/>
          <w:sz w:val="22"/>
        </w:rPr>
        <w:t>Table 5: Summary of official population projection methods and tempo treatment by country/organisation</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t>Country /</w:t>
              <w:br/>
              <w:t>Organisation</w:t>
            </w:r>
          </w:p>
        </w:tc>
        <w:tc>
          <w:tcPr>
            <w:tcW w:type="dxa" w:w="1872"/>
          </w:tcPr>
          <w:p>
            <w:r>
              <w:t>Method</w:t>
            </w:r>
          </w:p>
        </w:tc>
        <w:tc>
          <w:tcPr>
            <w:tcW w:type="dxa" w:w="1872"/>
          </w:tcPr>
          <w:p>
            <w:r>
              <w:t>Fertility</w:t>
              <w:br/>
              <w:t>assumption</w:t>
            </w:r>
          </w:p>
        </w:tc>
        <w:tc>
          <w:tcPr>
            <w:tcW w:type="dxa" w:w="1872"/>
          </w:tcPr>
          <w:p>
            <w:r>
              <w:t>Mortality</w:t>
              <w:br/>
              <w:t>assumption</w:t>
            </w:r>
          </w:p>
        </w:tc>
        <w:tc>
          <w:tcPr>
            <w:tcW w:type="dxa" w:w="1872"/>
          </w:tcPr>
          <w:p>
            <w:r>
              <w:t>Tempo</w:t>
              <w:br/>
              <w:t>decomposition?</w:t>
            </w:r>
          </w:p>
        </w:tc>
      </w:tr>
      <w:tr>
        <w:tc>
          <w:tcPr>
            <w:tcW w:type="dxa" w:w="1872"/>
          </w:tcPr>
          <w:p>
            <w:r>
              <w:t>UN WPP 2024</w:t>
              <w:br/>
              <w:t>(All countries)</w:t>
            </w:r>
          </w:p>
        </w:tc>
        <w:tc>
          <w:tcPr>
            <w:tcW w:type="dxa" w:w="1872"/>
          </w:tcPr>
          <w:p>
            <w:r>
              <w:t>Cohort-component;</w:t>
              <w:br/>
              <w:t>probabilistic (Bayesian)</w:t>
            </w:r>
          </w:p>
        </w:tc>
        <w:tc>
          <w:tcPr>
            <w:tcW w:type="dxa" w:w="1872"/>
          </w:tcPr>
          <w:p>
            <w:r>
              <w:t>Bayesian hierarchical;</w:t>
              <w:br/>
              <w:t>TFR trajectories</w:t>
            </w:r>
          </w:p>
        </w:tc>
        <w:tc>
          <w:tcPr>
            <w:tcW w:type="dxa" w:w="1872"/>
          </w:tcPr>
          <w:p>
            <w:r>
              <w:t>Lee–Carter variant;</w:t>
              <w:br/>
              <w:t>country-specific drift</w:t>
            </w:r>
          </w:p>
        </w:tc>
        <w:tc>
          <w:tcPr>
            <w:tcW w:type="dxa" w:w="1872"/>
          </w:tcPr>
          <w:p>
            <w:r>
              <w:t>No</w:t>
            </w:r>
          </w:p>
        </w:tc>
      </w:tr>
      <w:tr>
        <w:tc>
          <w:tcPr>
            <w:tcW w:type="dxa" w:w="1872"/>
          </w:tcPr>
          <w:p>
            <w:r>
              <w:t>Japan</w:t>
              <w:br/>
              <w:t>(IPSS)</w:t>
            </w:r>
          </w:p>
        </w:tc>
        <w:tc>
          <w:tcPr>
            <w:tcW w:type="dxa" w:w="1872"/>
          </w:tcPr>
          <w:p>
            <w:r>
              <w:t>Cohort-component;</w:t>
              <w:br/>
              <w:t>3×3 variants</w:t>
            </w:r>
          </w:p>
        </w:tc>
        <w:tc>
          <w:tcPr>
            <w:tcW w:type="dxa" w:w="1872"/>
          </w:tcPr>
          <w:p>
            <w:r>
              <w:t>Cohort fertility model;</w:t>
              <w:br/>
              <w:t>MAC = 32.8</w:t>
            </w:r>
          </w:p>
        </w:tc>
        <w:tc>
          <w:tcPr>
            <w:tcW w:type="dxa" w:w="1872"/>
          </w:tcPr>
          <w:p>
            <w:r>
              <w:t>Lee–Carter;</w:t>
              <w:br/>
              <w:t>e₀ = 85.9/91.8</w:t>
            </w:r>
          </w:p>
        </w:tc>
        <w:tc>
          <w:tcPr>
            <w:tcW w:type="dxa" w:w="1872"/>
          </w:tcPr>
          <w:p>
            <w:r>
              <w:t>No</w:t>
            </w:r>
          </w:p>
        </w:tc>
      </w:tr>
      <w:tr>
        <w:tc>
          <w:tcPr>
            <w:tcW w:type="dxa" w:w="1872"/>
          </w:tcPr>
          <w:p>
            <w:r>
              <w:t>USA</w:t>
              <w:br/>
              <w:t>(Census Bureau)</w:t>
            </w:r>
          </w:p>
        </w:tc>
        <w:tc>
          <w:tcPr>
            <w:tcW w:type="dxa" w:w="1872"/>
          </w:tcPr>
          <w:p>
            <w:r>
              <w:t>Cohort-component;</w:t>
              <w:br/>
              <w:t>main + 3 migration</w:t>
            </w:r>
          </w:p>
        </w:tc>
        <w:tc>
          <w:tcPr>
            <w:tcW w:type="dxa" w:w="1872"/>
          </w:tcPr>
          <w:p>
            <w:r>
              <w:t>Race-specific ASFRs;</w:t>
              <w:br/>
              <w:t>TFR ~ 1.75 by 2060</w:t>
            </w:r>
          </w:p>
        </w:tc>
        <w:tc>
          <w:tcPr>
            <w:tcW w:type="dxa" w:w="1872"/>
          </w:tcPr>
          <w:p>
            <w:r>
              <w:t>Cause-of-death model;</w:t>
              <w:br/>
              <w:t>e₀ ~ 83.9 by 2100</w:t>
            </w:r>
          </w:p>
        </w:tc>
        <w:tc>
          <w:tcPr>
            <w:tcW w:type="dxa" w:w="1872"/>
          </w:tcPr>
          <w:p>
            <w:r>
              <w:t>No</w:t>
            </w:r>
          </w:p>
        </w:tc>
      </w:tr>
      <w:tr>
        <w:tc>
          <w:tcPr>
            <w:tcW w:type="dxa" w:w="1872"/>
          </w:tcPr>
          <w:p>
            <w:r>
              <w:t>Germany</w:t>
              <w:br/>
              <w:t>(Destatis)</w:t>
            </w:r>
          </w:p>
        </w:tc>
        <w:tc>
          <w:tcPr>
            <w:tcW w:type="dxa" w:w="1872"/>
          </w:tcPr>
          <w:p>
            <w:r>
              <w:t>Cohort-component;</w:t>
              <w:br/>
              <w:t>27 variants</w:t>
            </w:r>
          </w:p>
        </w:tc>
        <w:tc>
          <w:tcPr>
            <w:tcW w:type="dxa" w:w="1872"/>
          </w:tcPr>
          <w:p>
            <w:r>
              <w:t>TFR 1.29–1.65;</w:t>
              <w:br/>
              <w:t>MAC ~ 31.7–32.1</w:t>
            </w:r>
          </w:p>
        </w:tc>
        <w:tc>
          <w:tcPr>
            <w:tcW w:type="dxa" w:w="1872"/>
          </w:tcPr>
          <w:p>
            <w:r>
              <w:t>e₀ 82.6–86.4 (M)</w:t>
              <w:br/>
              <w:t>85.9–89.3 (F)</w:t>
            </w:r>
          </w:p>
        </w:tc>
        <w:tc>
          <w:tcPr>
            <w:tcW w:type="dxa" w:w="1872"/>
          </w:tcPr>
          <w:p>
            <w:r>
              <w:t>No</w:t>
            </w:r>
          </w:p>
        </w:tc>
      </w:tr>
      <w:tr>
        <w:tc>
          <w:tcPr>
            <w:tcW w:type="dxa" w:w="1872"/>
          </w:tcPr>
          <w:p>
            <w:r>
              <w:t>United Kingdom</w:t>
              <w:br/>
              <w:t>(ONS)</w:t>
            </w:r>
          </w:p>
        </w:tc>
        <w:tc>
          <w:tcPr>
            <w:tcW w:type="dxa" w:w="1872"/>
          </w:tcPr>
          <w:p>
            <w:r>
              <w:t>Cohort-component;</w:t>
              <w:br/>
              <w:t>principal + 9 variants</w:t>
            </w:r>
          </w:p>
        </w:tc>
        <w:tc>
          <w:tcPr>
            <w:tcW w:type="dxa" w:w="1872"/>
          </w:tcPr>
          <w:p>
            <w:r>
              <w:t>ASFRs; TFR ~ 1.59</w:t>
              <w:br/>
              <w:t>long-term</w:t>
            </w:r>
          </w:p>
        </w:tc>
        <w:tc>
          <w:tcPr>
            <w:tcW w:type="dxa" w:w="1872"/>
          </w:tcPr>
          <w:p>
            <w:r>
              <w:t>Age-period-cohort;</w:t>
              <w:br/>
              <w:t>e₀ ~ 83.9/86.3</w:t>
            </w:r>
          </w:p>
        </w:tc>
        <w:tc>
          <w:tcPr>
            <w:tcW w:type="dxa" w:w="1872"/>
          </w:tcPr>
          <w:p>
            <w:r>
              <w:t>No</w:t>
            </w:r>
          </w:p>
        </w:tc>
      </w:tr>
      <w:tr>
        <w:tc>
          <w:tcPr>
            <w:tcW w:type="dxa" w:w="1872"/>
          </w:tcPr>
          <w:p>
            <w:r>
              <w:t>France</w:t>
              <w:br/>
              <w:t>(INSEE)</w:t>
            </w:r>
          </w:p>
        </w:tc>
        <w:tc>
          <w:tcPr>
            <w:tcW w:type="dxa" w:w="1872"/>
          </w:tcPr>
          <w:p>
            <w:r>
              <w:t>Cohort-component;</w:t>
              <w:br/>
              <w:t>central + 3 variants</w:t>
            </w:r>
          </w:p>
        </w:tc>
        <w:tc>
          <w:tcPr>
            <w:tcW w:type="dxa" w:w="1872"/>
          </w:tcPr>
          <w:p>
            <w:r>
              <w:t>TFR ~ 1.80 central</w:t>
            </w:r>
          </w:p>
        </w:tc>
        <w:tc>
          <w:tcPr>
            <w:tcW w:type="dxa" w:w="1872"/>
          </w:tcPr>
          <w:p>
            <w:r>
              <w:t>Trend extrapolation;</w:t>
              <w:br/>
              <w:t>e₀ ~ 87.5/90.0</w:t>
            </w:r>
          </w:p>
        </w:tc>
        <w:tc>
          <w:tcPr>
            <w:tcW w:type="dxa" w:w="1872"/>
          </w:tcPr>
          <w:p>
            <w:r>
              <w:t>No</w:t>
            </w:r>
          </w:p>
        </w:tc>
      </w:tr>
      <w:tr>
        <w:tc>
          <w:tcPr>
            <w:tcW w:type="dxa" w:w="1872"/>
          </w:tcPr>
          <w:p>
            <w:r>
              <w:t>Korea</w:t>
              <w:br/>
              <w:t>(KOSTAT)</w:t>
            </w:r>
          </w:p>
        </w:tc>
        <w:tc>
          <w:tcPr>
            <w:tcW w:type="dxa" w:w="1872"/>
          </w:tcPr>
          <w:p>
            <w:r>
              <w:t>Cohort-component;</w:t>
              <w:br/>
              <w:t>3 scenarios</w:t>
            </w:r>
          </w:p>
        </w:tc>
        <w:tc>
          <w:tcPr>
            <w:tcW w:type="dxa" w:w="1872"/>
          </w:tcPr>
          <w:p>
            <w:r>
              <w:t>Cohort model;</w:t>
              <w:br/>
              <w:t>TFR 1.08 by 2040</w:t>
            </w:r>
          </w:p>
        </w:tc>
        <w:tc>
          <w:tcPr>
            <w:tcW w:type="dxa" w:w="1872"/>
          </w:tcPr>
          <w:p>
            <w:r>
              <w:t>Lee–Carter;</w:t>
              <w:br/>
              <w:t>e₀ = 88.0/91.4</w:t>
            </w:r>
          </w:p>
        </w:tc>
        <w:tc>
          <w:tcPr>
            <w:tcW w:type="dxa" w:w="1872"/>
          </w:tcPr>
          <w:p>
            <w:r>
              <w:t>No</w:t>
            </w:r>
          </w:p>
        </w:tc>
      </w:tr>
      <w:tr>
        <w:tc>
          <w:tcPr>
            <w:tcW w:type="dxa" w:w="1872"/>
          </w:tcPr>
          <w:p>
            <w:r>
              <w:t>Italy</w:t>
              <w:br/>
              <w:t>(ISTAT)</w:t>
            </w:r>
          </w:p>
        </w:tc>
        <w:tc>
          <w:tcPr>
            <w:tcW w:type="dxa" w:w="1872"/>
          </w:tcPr>
          <w:p>
            <w:r>
              <w:t>Cohort-component;</w:t>
              <w:br/>
              <w:t>median + 4 scenarios</w:t>
            </w:r>
          </w:p>
        </w:tc>
        <w:tc>
          <w:tcPr>
            <w:tcW w:type="dxa" w:w="1872"/>
          </w:tcPr>
          <w:p>
            <w:r>
              <w:t>TFR ~ 1.40 median</w:t>
            </w:r>
          </w:p>
        </w:tc>
        <w:tc>
          <w:tcPr>
            <w:tcW w:type="dxa" w:w="1872"/>
          </w:tcPr>
          <w:p>
            <w:r>
              <w:t>Lee–Carter;</w:t>
              <w:br/>
              <w:t>e₀ ~ 85.8/89.2</w:t>
            </w:r>
          </w:p>
        </w:tc>
        <w:tc>
          <w:tcPr>
            <w:tcW w:type="dxa" w:w="1872"/>
          </w:tcPr>
          <w:p>
            <w:r>
              <w:t>No</w:t>
            </w:r>
          </w:p>
        </w:tc>
      </w:tr>
      <w:tr>
        <w:tc>
          <w:tcPr>
            <w:tcW w:type="dxa" w:w="1872"/>
          </w:tcPr>
          <w:p>
            <w:r>
              <w:t>Australia</w:t>
              <w:br/>
              <w:t>(ABS)</w:t>
            </w:r>
          </w:p>
        </w:tc>
        <w:tc>
          <w:tcPr>
            <w:tcW w:type="dxa" w:w="1872"/>
          </w:tcPr>
          <w:p>
            <w:r>
              <w:t>Cohort-component;</w:t>
              <w:br/>
              <w:t>3 series</w:t>
            </w:r>
          </w:p>
        </w:tc>
        <w:tc>
          <w:tcPr>
            <w:tcW w:type="dxa" w:w="1872"/>
          </w:tcPr>
          <w:p>
            <w:r>
              <w:t>TFR 1.55–1.85</w:t>
            </w:r>
          </w:p>
        </w:tc>
        <w:tc>
          <w:tcPr>
            <w:tcW w:type="dxa" w:w="1872"/>
          </w:tcPr>
          <w:p>
            <w:r>
              <w:t>Mortality improvement;</w:t>
              <w:br/>
              <w:t>e₀ ~ 87/89</w:t>
            </w:r>
          </w:p>
        </w:tc>
        <w:tc>
          <w:tcPr>
            <w:tcW w:type="dxa" w:w="1872"/>
          </w:tcPr>
          <w:p>
            <w:r>
              <w:t>No</w:t>
            </w:r>
          </w:p>
        </w:tc>
      </w:tr>
      <w:tr>
        <w:tc>
          <w:tcPr>
            <w:tcW w:type="dxa" w:w="1872"/>
          </w:tcPr>
          <w:p>
            <w:r>
              <w:t>Canada</w:t>
              <w:br/>
              <w:t>(Statistics Canada)</w:t>
            </w:r>
          </w:p>
        </w:tc>
        <w:tc>
          <w:tcPr>
            <w:tcW w:type="dxa" w:w="1872"/>
          </w:tcPr>
          <w:p>
            <w:r>
              <w:t>Cohort-component;</w:t>
              <w:br/>
              <w:t>microsimulation</w:t>
            </w:r>
          </w:p>
        </w:tc>
        <w:tc>
          <w:tcPr>
            <w:tcW w:type="dxa" w:w="1872"/>
          </w:tcPr>
          <w:p>
            <w:r>
              <w:t>TFR 1.40–1.60</w:t>
            </w:r>
          </w:p>
        </w:tc>
        <w:tc>
          <w:tcPr>
            <w:tcW w:type="dxa" w:w="1872"/>
          </w:tcPr>
          <w:p>
            <w:r>
              <w:t>Lee–Carter variant;</w:t>
              <w:br/>
              <w:t>e₀ ~ 86/89</w:t>
            </w:r>
          </w:p>
        </w:tc>
        <w:tc>
          <w:tcPr>
            <w:tcW w:type="dxa" w:w="1872"/>
          </w:tcPr>
          <w:p>
            <w:r>
              <w:t>No</w:t>
            </w:r>
          </w:p>
        </w:tc>
      </w:tr>
      <w:tr>
        <w:tc>
          <w:tcPr>
            <w:tcW w:type="dxa" w:w="1872"/>
          </w:tcPr>
          <w:p>
            <w:r>
              <w:t>Eurostat</w:t>
              <w:br/>
              <w:t>(EU members)</w:t>
            </w:r>
          </w:p>
        </w:tc>
        <w:tc>
          <w:tcPr>
            <w:tcW w:type="dxa" w:w="1872"/>
          </w:tcPr>
          <w:p>
            <w:r>
              <w:t>Cohort-component;</w:t>
              <w:br/>
              <w:t>convergence model</w:t>
            </w:r>
          </w:p>
        </w:tc>
        <w:tc>
          <w:tcPr>
            <w:tcW w:type="dxa" w:w="1872"/>
          </w:tcPr>
          <w:p>
            <w:r>
              <w:t>Partial convergence</w:t>
              <w:br/>
              <w:t>of TFR across EU</w:t>
            </w:r>
          </w:p>
        </w:tc>
        <w:tc>
          <w:tcPr>
            <w:tcW w:type="dxa" w:w="1872"/>
          </w:tcPr>
          <w:p>
            <w:r>
              <w:t>Convergence of</w:t>
              <w:br/>
              <w:t>mortality improvement</w:t>
            </w:r>
          </w:p>
        </w:tc>
        <w:tc>
          <w:tcPr>
            <w:tcW w:type="dxa" w:w="1872"/>
          </w:tcPr>
          <w:p>
            <w:r>
              <w:t>No</w:t>
            </w:r>
          </w:p>
        </w:tc>
      </w:tr>
      <w:tr>
        <w:tc>
          <w:tcPr>
            <w:tcW w:type="dxa" w:w="1872"/>
          </w:tcPr>
          <w:p>
            <w:r>
              <w:t>China</w:t>
              <w:br/>
              <w:t>(NBS)</w:t>
            </w:r>
          </w:p>
        </w:tc>
        <w:tc>
          <w:tcPr>
            <w:tcW w:type="dxa" w:w="1872"/>
          </w:tcPr>
          <w:p>
            <w:r>
              <w:t>Cohort-component</w:t>
              <w:br/>
              <w:t>(not regularly published)</w:t>
            </w:r>
          </w:p>
        </w:tc>
        <w:tc>
          <w:tcPr>
            <w:tcW w:type="dxa" w:w="1872"/>
          </w:tcPr>
          <w:p>
            <w:r>
              <w:t>TFR 1.0–1.2;</w:t>
              <w:br/>
              <w:t>recovery assumed</w:t>
            </w:r>
          </w:p>
        </w:tc>
        <w:tc>
          <w:tcPr>
            <w:tcW w:type="dxa" w:w="1872"/>
          </w:tcPr>
          <w:p>
            <w:r>
              <w:t>Model life table;</w:t>
              <w:br/>
              <w:t>e₀ ~ 78.6</w:t>
            </w:r>
          </w:p>
        </w:tc>
        <w:tc>
          <w:tcPr>
            <w:tcW w:type="dxa" w:w="1872"/>
          </w:tcPr>
          <w:p>
            <w:r>
              <w:t>No</w:t>
            </w:r>
          </w:p>
        </w:tc>
      </w:tr>
      <w:tr>
        <w:tc>
          <w:tcPr>
            <w:tcW w:type="dxa" w:w="1872"/>
          </w:tcPr>
          <w:p>
            <w:r>
              <w:t>DRC</w:t>
            </w:r>
          </w:p>
        </w:tc>
        <w:tc>
          <w:tcPr>
            <w:tcW w:type="dxa" w:w="1872"/>
          </w:tcPr>
          <w:p>
            <w:r>
              <w:t>Relies on UN WPP;</w:t>
              <w:br/>
              <w:t>no national projection</w:t>
            </w:r>
          </w:p>
        </w:tc>
        <w:tc>
          <w:tcPr>
            <w:tcW w:type="dxa" w:w="1872"/>
          </w:tcPr>
          <w:p>
            <w:r>
              <w:t>TFR ~ 6.1; gradual</w:t>
              <w:br/>
              <w:t>decline assumed</w:t>
            </w:r>
          </w:p>
        </w:tc>
        <w:tc>
          <w:tcPr>
            <w:tcW w:type="dxa" w:w="1872"/>
          </w:tcPr>
          <w:p>
            <w:r>
              <w:t>Model life table;</w:t>
              <w:br/>
              <w:t>e₀ ~ 60.7</w:t>
            </w:r>
          </w:p>
        </w:tc>
        <w:tc>
          <w:tcPr>
            <w:tcW w:type="dxa" w:w="1872"/>
          </w:tcPr>
          <w:p>
            <w:r>
              <w:t>No</w:t>
            </w:r>
          </w:p>
        </w:tc>
      </w:tr>
      <w:tr>
        <w:tc>
          <w:tcPr>
            <w:tcW w:type="dxa" w:w="1872"/>
          </w:tcPr>
          <w:p>
            <w:r>
              <w:t>Mexico</w:t>
              <w:br/>
              <w:t>(CONAPO)</w:t>
            </w:r>
          </w:p>
        </w:tc>
        <w:tc>
          <w:tcPr>
            <w:tcW w:type="dxa" w:w="1872"/>
          </w:tcPr>
          <w:p>
            <w:r>
              <w:t>Cohort-component;</w:t>
              <w:br/>
              <w:t>3 variants</w:t>
            </w:r>
          </w:p>
        </w:tc>
        <w:tc>
          <w:tcPr>
            <w:tcW w:type="dxa" w:w="1872"/>
          </w:tcPr>
          <w:p>
            <w:r>
              <w:t>TFR ~ 1.7 by 2050</w:t>
            </w:r>
          </w:p>
        </w:tc>
        <w:tc>
          <w:tcPr>
            <w:tcW w:type="dxa" w:w="1872"/>
          </w:tcPr>
          <w:p>
            <w:r>
              <w:t>Trend extrapolation;</w:t>
              <w:br/>
              <w:t>e₀ ~ 79/83</w:t>
            </w:r>
          </w:p>
        </w:tc>
        <w:tc>
          <w:tcPr>
            <w:tcW w:type="dxa" w:w="1872"/>
          </w:tcPr>
          <w:p>
            <w:r>
              <w:t>No</w:t>
            </w:r>
          </w:p>
        </w:tc>
      </w:tr>
      <w:tr>
        <w:tc>
          <w:tcPr>
            <w:tcW w:type="dxa" w:w="1872"/>
          </w:tcPr>
          <w:p>
            <w:r>
              <w:t>Türkiye</w:t>
              <w:br/>
              <w:t>(TurkStat)</w:t>
            </w:r>
          </w:p>
        </w:tc>
        <w:tc>
          <w:tcPr>
            <w:tcW w:type="dxa" w:w="1872"/>
          </w:tcPr>
          <w:p>
            <w:r>
              <w:t>Cohort-component;</w:t>
              <w:br/>
              <w:t>3 scenarios</w:t>
            </w:r>
          </w:p>
        </w:tc>
        <w:tc>
          <w:tcPr>
            <w:tcW w:type="dxa" w:w="1872"/>
          </w:tcPr>
          <w:p>
            <w:r>
              <w:t>TFR declining to</w:t>
              <w:br/>
              <w:t>~1.60 long-term</w:t>
            </w:r>
          </w:p>
        </w:tc>
        <w:tc>
          <w:tcPr>
            <w:tcW w:type="dxa" w:w="1872"/>
          </w:tcPr>
          <w:p>
            <w:r>
              <w:t>Improvement model;</w:t>
              <w:br/>
              <w:t>e₀ ~ 80/84</w:t>
            </w:r>
          </w:p>
        </w:tc>
        <w:tc>
          <w:tcPr>
            <w:tcW w:type="dxa" w:w="1872"/>
          </w:tcPr>
          <w:p>
            <w:r>
              <w:t>No</w:t>
            </w:r>
          </w:p>
        </w:tc>
      </w:tr>
    </w:tbl>
    <w:p>
      <w:pPr>
        <w:spacing w:after="80"/>
      </w:pPr>
      <w:r>
        <w:rPr>
          <w:b w:val="0"/>
          <w:i w:val="0"/>
          <w:sz w:val="12"/>
        </w:rPr>
      </w:r>
    </w:p>
    <w:p>
      <w:pPr>
        <w:spacing w:after="240"/>
      </w:pPr>
      <w:r>
        <w:rPr>
          <w:b w:val="0"/>
          <w:i/>
          <w:sz w:val="18"/>
        </w:rPr>
        <w:t>Source: UN DESA (2024), National Institute of Population and Social Security Research, Japan (2023), US Census Bureau (2023), Federal Statistical Office of Germany (2025), Office for National Statistics, United Kingdom (2025), National Institute of Statistics and Economic Studies, France (2021), Statistics Korea (2023), National Institute of Statistics, Italy (2023), Australian Bureau of Statistics (2018), Statistics Canada (2024), Eurostat (2024), National Population Council, Mexico (2018), Turkish Statistical Institute (2023).</w:t>
      </w:r>
    </w:p>
    <w:p>
      <w:r>
        <w:br w:type="page"/>
      </w:r>
    </w:p>
    <w:p>
      <w:pPr>
        <w:spacing w:after="80"/>
      </w:pPr>
      <w:r>
        <w:rPr>
          <w:b w:val="0"/>
          <w:i w:val="0"/>
          <w:sz w:val="22"/>
        </w:rPr>
        <w:t>Table A1: German reunification — model components</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Component</w:t>
            </w:r>
          </w:p>
        </w:tc>
        <w:tc>
          <w:tcPr>
            <w:tcW w:type="dxa" w:w="2340"/>
          </w:tcPr>
          <w:p>
            <w:r>
              <w:t>Population 1970</w:t>
              <w:br/>
              <w:t>(millions)</w:t>
            </w:r>
          </w:p>
        </w:tc>
        <w:tc>
          <w:tcPr>
            <w:tcW w:type="dxa" w:w="2340"/>
          </w:tcPr>
          <w:p>
            <w:r>
              <w:t>Population 2023</w:t>
              <w:br/>
              <w:t>(millions)</w:t>
            </w:r>
          </w:p>
        </w:tc>
        <w:tc>
          <w:tcPr>
            <w:tcW w:type="dxa" w:w="2340"/>
          </w:tcPr>
          <w:p>
            <w:r>
              <w:t>Change (%)</w:t>
            </w:r>
          </w:p>
        </w:tc>
      </w:tr>
      <w:tr>
        <w:tc>
          <w:tcPr>
            <w:tcW w:type="dxa" w:w="2340"/>
          </w:tcPr>
          <w:p>
            <w:r>
              <w:t>West Germany (model)</w:t>
            </w:r>
          </w:p>
        </w:tc>
        <w:tc>
          <w:tcPr>
            <w:tcW w:type="dxa" w:w="2340"/>
          </w:tcPr>
          <w:p>
            <w:r>
              <w:t>60.7</w:t>
            </w:r>
          </w:p>
        </w:tc>
        <w:tc>
          <w:tcPr>
            <w:tcW w:type="dxa" w:w="2340"/>
          </w:tcPr>
          <w:p>
            <w:r>
              <w:t>56.4</w:t>
            </w:r>
          </w:p>
        </w:tc>
        <w:tc>
          <w:tcPr>
            <w:tcW w:type="dxa" w:w="2340"/>
          </w:tcPr>
          <w:p>
            <w:r>
              <w:t>−7.1</w:t>
            </w:r>
          </w:p>
        </w:tc>
      </w:tr>
      <w:tr>
        <w:tc>
          <w:tcPr>
            <w:tcW w:type="dxa" w:w="2340"/>
          </w:tcPr>
          <w:p>
            <w:r>
              <w:t>East Germany (model)</w:t>
            </w:r>
          </w:p>
        </w:tc>
        <w:tc>
          <w:tcPr>
            <w:tcW w:type="dxa" w:w="2340"/>
          </w:tcPr>
          <w:p>
            <w:r>
              <w:t>17.1</w:t>
            </w:r>
          </w:p>
        </w:tc>
        <w:tc>
          <w:tcPr>
            <w:tcW w:type="dxa" w:w="2340"/>
          </w:tcPr>
          <w:p>
            <w:r>
              <w:t>12.8</w:t>
            </w:r>
          </w:p>
        </w:tc>
        <w:tc>
          <w:tcPr>
            <w:tcW w:type="dxa" w:w="2340"/>
          </w:tcPr>
          <w:p>
            <w:r>
              <w:t>−25.1</w:t>
            </w:r>
          </w:p>
        </w:tc>
      </w:tr>
      <w:tr>
        <w:tc>
          <w:tcPr>
            <w:tcW w:type="dxa" w:w="2340"/>
          </w:tcPr>
          <w:p>
            <w:r>
              <w:t>Combined (model)</w:t>
            </w:r>
          </w:p>
        </w:tc>
        <w:tc>
          <w:tcPr>
            <w:tcW w:type="dxa" w:w="2340"/>
          </w:tcPr>
          <w:p>
            <w:r>
              <w:t>77.8</w:t>
            </w:r>
          </w:p>
        </w:tc>
        <w:tc>
          <w:tcPr>
            <w:tcW w:type="dxa" w:w="2340"/>
          </w:tcPr>
          <w:p>
            <w:r>
              <w:t>69.2</w:t>
            </w:r>
          </w:p>
        </w:tc>
        <w:tc>
          <w:tcPr>
            <w:tcW w:type="dxa" w:w="2340"/>
          </w:tcPr>
          <w:p>
            <w:r>
              <w:t>−11.1</w:t>
            </w:r>
          </w:p>
        </w:tc>
      </w:tr>
      <w:tr>
        <w:tc>
          <w:tcPr>
            <w:tcW w:type="dxa" w:w="2340"/>
          </w:tcPr>
          <w:p>
            <w:r>
              <w:t>Germany (observed)</w:t>
            </w:r>
          </w:p>
        </w:tc>
        <w:tc>
          <w:tcPr>
            <w:tcW w:type="dxa" w:w="2340"/>
          </w:tcPr>
          <w:p>
            <w:r>
              <w:t>78.2</w:t>
            </w:r>
          </w:p>
        </w:tc>
        <w:tc>
          <w:tcPr>
            <w:tcW w:type="dxa" w:w="2340"/>
          </w:tcPr>
          <w:p>
            <w:r>
              <w:t>84.5</w:t>
            </w:r>
          </w:p>
        </w:tc>
        <w:tc>
          <w:tcPr>
            <w:tcW w:type="dxa" w:w="2340"/>
          </w:tcPr>
          <w:p>
            <w:r>
              <w:t>+8.1</w:t>
            </w:r>
          </w:p>
        </w:tc>
      </w:tr>
    </w:tbl>
    <w:p>
      <w:pPr>
        <w:spacing w:after="80"/>
      </w:pPr>
      <w:r>
        <w:rPr>
          <w:b w:val="0"/>
          <w:i w:val="0"/>
          <w:sz w:val="12"/>
        </w:rPr>
      </w:r>
    </w:p>
    <w:p>
      <w:pPr>
        <w:spacing w:after="240"/>
      </w:pPr>
      <w:r>
        <w:rPr>
          <w:b w:val="0"/>
          <w:i/>
          <w:sz w:val="18"/>
        </w:rPr>
        <w:t>Note: Model excludes migration. The 15.8 percentage-point gap between model and observed reflects cumulative net immigration since 1970.</w:t>
      </w:r>
    </w:p>
    <w:p>
      <w:r>
        <w:br w:type="page"/>
      </w:r>
    </w:p>
    <w:p>
      <w:pPr>
        <w:spacing w:after="80"/>
      </w:pPr>
      <w:r>
        <w:rPr>
          <w:b w:val="0"/>
          <w:i w:val="0"/>
          <w:sz w:val="22"/>
        </w:rPr>
        <w:t>Table A2: Model performance across natural experiment cases</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Country</w:t>
            </w:r>
          </w:p>
        </w:tc>
        <w:tc>
          <w:tcPr>
            <w:tcW w:type="dxa" w:w="2340"/>
          </w:tcPr>
          <w:p>
            <w:r>
              <w:t>Event (year)</w:t>
            </w:r>
          </w:p>
        </w:tc>
        <w:tc>
          <w:tcPr>
            <w:tcW w:type="dxa" w:w="2340"/>
          </w:tcPr>
          <w:p>
            <w:r>
              <w:t>MAPE (%)</w:t>
            </w:r>
          </w:p>
        </w:tc>
        <w:tc>
          <w:tcPr>
            <w:tcW w:type="dxa" w:w="2340"/>
          </w:tcPr>
          <w:p>
            <w:r>
              <w:t>Primary misfit source</w:t>
            </w:r>
          </w:p>
        </w:tc>
      </w:tr>
      <w:tr>
        <w:tc>
          <w:tcPr>
            <w:tcW w:type="dxa" w:w="2340"/>
          </w:tcPr>
          <w:p>
            <w:r>
              <w:t>Germany (synth. E+W)</w:t>
            </w:r>
          </w:p>
        </w:tc>
        <w:tc>
          <w:tcPr>
            <w:tcW w:type="dxa" w:w="2340"/>
          </w:tcPr>
          <w:p>
            <w:r>
              <w:t>Reunification (1990)</w:t>
            </w:r>
          </w:p>
        </w:tc>
        <w:tc>
          <w:tcPr>
            <w:tcW w:type="dxa" w:w="2340"/>
          </w:tcPr>
          <w:p>
            <w:r>
              <w:t>6.4</w:t>
            </w:r>
          </w:p>
        </w:tc>
        <w:tc>
          <w:tcPr>
            <w:tcW w:type="dxa" w:w="2340"/>
          </w:tcPr>
          <w:p>
            <w:r>
              <w:t>Immigration + internal migration</w:t>
            </w:r>
          </w:p>
        </w:tc>
      </w:tr>
      <w:tr>
        <w:tc>
          <w:tcPr>
            <w:tcW w:type="dxa" w:w="2340"/>
          </w:tcPr>
          <w:p>
            <w:r>
              <w:t>Czechia</w:t>
            </w:r>
          </w:p>
        </w:tc>
        <w:tc>
          <w:tcPr>
            <w:tcW w:type="dxa" w:w="2340"/>
          </w:tcPr>
          <w:p>
            <w:r>
              <w:t>Velvet Divorce (1993)</w:t>
            </w:r>
          </w:p>
        </w:tc>
        <w:tc>
          <w:tcPr>
            <w:tcW w:type="dxa" w:w="2340"/>
          </w:tcPr>
          <w:p>
            <w:r>
              <w:t>6.3</w:t>
            </w:r>
          </w:p>
        </w:tc>
        <w:tc>
          <w:tcPr>
            <w:tcW w:type="dxa" w:w="2340"/>
          </w:tcPr>
          <w:p>
            <w:r>
              <w:t>Post-EU emigration</w:t>
            </w:r>
          </w:p>
        </w:tc>
      </w:tr>
      <w:tr>
        <w:tc>
          <w:tcPr>
            <w:tcW w:type="dxa" w:w="2340"/>
          </w:tcPr>
          <w:p>
            <w:r>
              <w:t>Slovakia</w:t>
            </w:r>
          </w:p>
        </w:tc>
        <w:tc>
          <w:tcPr>
            <w:tcW w:type="dxa" w:w="2340"/>
          </w:tcPr>
          <w:p>
            <w:r>
              <w:t>Velvet Divorce (1993)</w:t>
            </w:r>
          </w:p>
        </w:tc>
        <w:tc>
          <w:tcPr>
            <w:tcW w:type="dxa" w:w="2340"/>
          </w:tcPr>
          <w:p>
            <w:r>
              <w:t>9.9</w:t>
            </w:r>
          </w:p>
        </w:tc>
        <w:tc>
          <w:tcPr>
            <w:tcW w:type="dxa" w:w="2340"/>
          </w:tcPr>
          <w:p>
            <w:r>
              <w:t>Emigration to EU/West</w:t>
            </w:r>
          </w:p>
        </w:tc>
      </w:tr>
      <w:tr>
        <w:tc>
          <w:tcPr>
            <w:tcW w:type="dxa" w:w="2340"/>
          </w:tcPr>
          <w:p>
            <w:r>
              <w:t>Croatia</w:t>
            </w:r>
          </w:p>
        </w:tc>
        <w:tc>
          <w:tcPr>
            <w:tcW w:type="dxa" w:w="2340"/>
          </w:tcPr>
          <w:p>
            <w:r>
              <w:t>Yugoslav breakup (1991)</w:t>
            </w:r>
          </w:p>
        </w:tc>
        <w:tc>
          <w:tcPr>
            <w:tcW w:type="dxa" w:w="2340"/>
          </w:tcPr>
          <w:p>
            <w:r>
              <w:t>4.1</w:t>
            </w:r>
          </w:p>
        </w:tc>
        <w:tc>
          <w:tcPr>
            <w:tcW w:type="dxa" w:w="2340"/>
          </w:tcPr>
          <w:p>
            <w:r>
              <w:t>Post-conflict stabilisation</w:t>
            </w:r>
          </w:p>
        </w:tc>
      </w:tr>
      <w:tr>
        <w:tc>
          <w:tcPr>
            <w:tcW w:type="dxa" w:w="2340"/>
          </w:tcPr>
          <w:p>
            <w:r>
              <w:t>Slovenia</w:t>
            </w:r>
          </w:p>
        </w:tc>
        <w:tc>
          <w:tcPr>
            <w:tcW w:type="dxa" w:w="2340"/>
          </w:tcPr>
          <w:p>
            <w:r>
              <w:t>Yugoslav breakup (1991)</w:t>
            </w:r>
          </w:p>
        </w:tc>
        <w:tc>
          <w:tcPr>
            <w:tcW w:type="dxa" w:w="2340"/>
          </w:tcPr>
          <w:p>
            <w:r>
              <w:t>12.2</w:t>
            </w:r>
          </w:p>
        </w:tc>
        <w:tc>
          <w:tcPr>
            <w:tcW w:type="dxa" w:w="2340"/>
          </w:tcPr>
          <w:p>
            <w:r>
              <w:t>Immigration (EU member)</w:t>
            </w:r>
          </w:p>
        </w:tc>
      </w:tr>
      <w:tr>
        <w:tc>
          <w:tcPr>
            <w:tcW w:type="dxa" w:w="2340"/>
          </w:tcPr>
          <w:p>
            <w:r>
              <w:t>Bosnia &amp; Herz.</w:t>
            </w:r>
          </w:p>
        </w:tc>
        <w:tc>
          <w:tcPr>
            <w:tcW w:type="dxa" w:w="2340"/>
          </w:tcPr>
          <w:p>
            <w:r>
              <w:t>Yugoslav breakup (1991)</w:t>
            </w:r>
          </w:p>
        </w:tc>
        <w:tc>
          <w:tcPr>
            <w:tcW w:type="dxa" w:w="2340"/>
          </w:tcPr>
          <w:p>
            <w:r>
              <w:t>8.1</w:t>
            </w:r>
          </w:p>
        </w:tc>
        <w:tc>
          <w:tcPr>
            <w:tcW w:type="dxa" w:w="2340"/>
          </w:tcPr>
          <w:p>
            <w:r>
              <w:t>War displacement</w:t>
            </w:r>
          </w:p>
        </w:tc>
      </w:tr>
      <w:tr>
        <w:tc>
          <w:tcPr>
            <w:tcW w:type="dxa" w:w="2340"/>
          </w:tcPr>
          <w:p>
            <w:r>
              <w:t>Serbia</w:t>
            </w:r>
          </w:p>
        </w:tc>
        <w:tc>
          <w:tcPr>
            <w:tcW w:type="dxa" w:w="2340"/>
          </w:tcPr>
          <w:p>
            <w:r>
              <w:t>Yugoslav breakup (1991)</w:t>
            </w:r>
          </w:p>
        </w:tc>
        <w:tc>
          <w:tcPr>
            <w:tcW w:type="dxa" w:w="2340"/>
          </w:tcPr>
          <w:p>
            <w:r>
              <w:t>7.1</w:t>
            </w:r>
          </w:p>
        </w:tc>
        <w:tc>
          <w:tcPr>
            <w:tcW w:type="dxa" w:w="2340"/>
          </w:tcPr>
          <w:p>
            <w:r>
              <w:t>Refugee flows, emigration</w:t>
            </w:r>
          </w:p>
        </w:tc>
      </w:tr>
      <w:tr>
        <w:tc>
          <w:tcPr>
            <w:tcW w:type="dxa" w:w="2340"/>
          </w:tcPr>
          <w:p>
            <w:r>
              <w:t>N. Macedonia</w:t>
            </w:r>
          </w:p>
        </w:tc>
        <w:tc>
          <w:tcPr>
            <w:tcW w:type="dxa" w:w="2340"/>
          </w:tcPr>
          <w:p>
            <w:r>
              <w:t>Yugoslav breakup (1991)</w:t>
            </w:r>
          </w:p>
        </w:tc>
        <w:tc>
          <w:tcPr>
            <w:tcW w:type="dxa" w:w="2340"/>
          </w:tcPr>
          <w:p>
            <w:r>
              <w:t>6.4</w:t>
            </w:r>
          </w:p>
        </w:tc>
        <w:tc>
          <w:tcPr>
            <w:tcW w:type="dxa" w:w="2340"/>
          </w:tcPr>
          <w:p>
            <w:r>
              <w:t>Modest migration</w:t>
            </w:r>
          </w:p>
        </w:tc>
      </w:tr>
      <w:tr>
        <w:tc>
          <w:tcPr>
            <w:tcW w:type="dxa" w:w="2340"/>
          </w:tcPr>
          <w:p>
            <w:r>
              <w:t>Montenegro</w:t>
            </w:r>
          </w:p>
        </w:tc>
        <w:tc>
          <w:tcPr>
            <w:tcW w:type="dxa" w:w="2340"/>
          </w:tcPr>
          <w:p>
            <w:r>
              <w:t>Yugoslav breakup (1991)</w:t>
            </w:r>
          </w:p>
        </w:tc>
        <w:tc>
          <w:tcPr>
            <w:tcW w:type="dxa" w:w="2340"/>
          </w:tcPr>
          <w:p>
            <w:r>
              <w:t>8.1</w:t>
            </w:r>
          </w:p>
        </w:tc>
        <w:tc>
          <w:tcPr>
            <w:tcW w:type="dxa" w:w="2340"/>
          </w:tcPr>
          <w:p>
            <w:r>
              <w:t>Small state, volatile</w:t>
            </w:r>
          </w:p>
        </w:tc>
      </w:tr>
      <w:tr>
        <w:tc>
          <w:tcPr>
            <w:tcW w:type="dxa" w:w="2340"/>
          </w:tcPr>
          <w:p>
            <w:r>
              <w:t>Estonia</w:t>
            </w:r>
          </w:p>
        </w:tc>
        <w:tc>
          <w:tcPr>
            <w:tcW w:type="dxa" w:w="2340"/>
          </w:tcPr>
          <w:p>
            <w:r>
              <w:t>USSR dissolution (1991)</w:t>
            </w:r>
          </w:p>
        </w:tc>
        <w:tc>
          <w:tcPr>
            <w:tcW w:type="dxa" w:w="2340"/>
          </w:tcPr>
          <w:p>
            <w:r>
              <w:t>4.8</w:t>
            </w:r>
          </w:p>
        </w:tc>
        <w:tc>
          <w:tcPr>
            <w:tcW w:type="dxa" w:w="2340"/>
          </w:tcPr>
          <w:p>
            <w:r>
              <w:t>Ethnic Russian emigration</w:t>
            </w:r>
          </w:p>
        </w:tc>
      </w:tr>
      <w:tr>
        <w:tc>
          <w:tcPr>
            <w:tcW w:type="dxa" w:w="2340"/>
          </w:tcPr>
          <w:p>
            <w:r>
              <w:t>Latvia</w:t>
            </w:r>
          </w:p>
        </w:tc>
        <w:tc>
          <w:tcPr>
            <w:tcW w:type="dxa" w:w="2340"/>
          </w:tcPr>
          <w:p>
            <w:r>
              <w:t>USSR dissolution (1991)</w:t>
            </w:r>
          </w:p>
        </w:tc>
        <w:tc>
          <w:tcPr>
            <w:tcW w:type="dxa" w:w="2340"/>
          </w:tcPr>
          <w:p>
            <w:r>
              <w:t>6.6</w:t>
            </w:r>
          </w:p>
        </w:tc>
        <w:tc>
          <w:tcPr>
            <w:tcW w:type="dxa" w:w="2340"/>
          </w:tcPr>
          <w:p>
            <w:r>
              <w:t>Emigration (ethnic + EU)</w:t>
            </w:r>
          </w:p>
        </w:tc>
      </w:tr>
      <w:tr>
        <w:tc>
          <w:tcPr>
            <w:tcW w:type="dxa" w:w="2340"/>
          </w:tcPr>
          <w:p>
            <w:r>
              <w:t>Lithuania</w:t>
            </w:r>
          </w:p>
        </w:tc>
        <w:tc>
          <w:tcPr>
            <w:tcW w:type="dxa" w:w="2340"/>
          </w:tcPr>
          <w:p>
            <w:r>
              <w:t>USSR dissolution (1991)</w:t>
            </w:r>
          </w:p>
        </w:tc>
        <w:tc>
          <w:tcPr>
            <w:tcW w:type="dxa" w:w="2340"/>
          </w:tcPr>
          <w:p>
            <w:r>
              <w:t>7.1</w:t>
            </w:r>
          </w:p>
        </w:tc>
        <w:tc>
          <w:tcPr>
            <w:tcW w:type="dxa" w:w="2340"/>
          </w:tcPr>
          <w:p>
            <w:r>
              <w:t>Sustained emigration</w:t>
            </w:r>
          </w:p>
        </w:tc>
      </w:tr>
      <w:tr>
        <w:tc>
          <w:tcPr>
            <w:tcW w:type="dxa" w:w="2340"/>
          </w:tcPr>
          <w:p>
            <w:r>
              <w:t>Ethiopia</w:t>
            </w:r>
          </w:p>
        </w:tc>
        <w:tc>
          <w:tcPr>
            <w:tcW w:type="dxa" w:w="2340"/>
          </w:tcPr>
          <w:p>
            <w:r>
              <w:t>Eritrean indep. (1993)</w:t>
            </w:r>
          </w:p>
        </w:tc>
        <w:tc>
          <w:tcPr>
            <w:tcW w:type="dxa" w:w="2340"/>
          </w:tcPr>
          <w:p>
            <w:r>
              <w:t>16.5</w:t>
            </w:r>
          </w:p>
        </w:tc>
        <w:tc>
          <w:tcPr>
            <w:tcW w:type="dxa" w:w="2340"/>
          </w:tcPr>
          <w:p>
            <w:r>
              <w:t>Rapid fertility decline</w:t>
            </w:r>
          </w:p>
        </w:tc>
      </w:tr>
      <w:tr>
        <w:tc>
          <w:tcPr>
            <w:tcW w:type="dxa" w:w="2340"/>
          </w:tcPr>
          <w:p>
            <w:r>
              <w:t>Eritrea</w:t>
            </w:r>
          </w:p>
        </w:tc>
        <w:tc>
          <w:tcPr>
            <w:tcW w:type="dxa" w:w="2340"/>
          </w:tcPr>
          <w:p>
            <w:r>
              <w:t>Eritrean indep. (1993)</w:t>
            </w:r>
          </w:p>
        </w:tc>
        <w:tc>
          <w:tcPr>
            <w:tcW w:type="dxa" w:w="2340"/>
          </w:tcPr>
          <w:p>
            <w:r>
              <w:t>37.8</w:t>
            </w:r>
          </w:p>
        </w:tc>
        <w:tc>
          <w:tcPr>
            <w:tcW w:type="dxa" w:w="2340"/>
          </w:tcPr>
          <w:p>
            <w:r>
              <w:t>Conflict, data uncertainty</w:t>
            </w:r>
          </w:p>
        </w:tc>
      </w:tr>
    </w:tbl>
    <w:p>
      <w:pPr>
        <w:spacing w:after="120"/>
      </w:pPr>
      <w:r>
        <w:rPr>
          <w:b w:val="0"/>
          <w:i w:val="0"/>
          <w:sz w:val="12"/>
        </w:rPr>
      </w:r>
    </w:p>
    <w:p>
      <w:r>
        <w:br w:type="page"/>
      </w:r>
    </w:p>
    <w:p>
      <w:pPr>
        <w:spacing w:before="360" w:after="240"/>
      </w:pPr>
      <w:r>
        <w:rPr>
          <w:b/>
          <w:color w:val="000000"/>
          <w:sz w:val="24"/>
        </w:rPr>
        <w:t>Figure titles</w:t>
      </w:r>
    </w:p>
    <w:p>
      <w:pPr>
        <w:spacing w:after="240"/>
      </w:pPr>
      <w:r>
        <w:rPr>
          <w:b w:val="0"/>
          <w:i w:val="0"/>
          <w:sz w:val="22"/>
        </w:rPr>
        <w:t>Figure 1: Five model variants versus observed population trajectories for six representative countries, 1970–2023.</w:t>
        <w:br/>
        <w:t>Note: Observed = black solid (UN WPP 2024); Tempo-responsive = blue solid; Tempo-invariant = orange dashed; Tempo-adjusted (TFR*) = green dash-dot; Fixed-parameter (1970) = red dotted.</w:t>
      </w:r>
    </w:p>
    <w:p>
      <w:pPr>
        <w:spacing w:after="240"/>
      </w:pPr>
      <w:r>
        <w:rPr>
          <w:b w:val="0"/>
          <w:i w:val="0"/>
          <w:sz w:val="22"/>
        </w:rPr>
        <w:t>Figure 2: Five-model validation across all 40 countries.</w:t>
        <w:br/>
        <w:t>Note: Observed = black; Tempo-responsive = blue; Tempo-invariant = orange dashed; Tempo-adjusted (TFR*) = green dash-dot; Fixed-parameter = red dotted. Tempo-responsive MAPE shown in upper-right corner. Countries sorted alphabetically.</w:t>
      </w:r>
    </w:p>
    <w:p>
      <w:pPr>
        <w:spacing w:after="240"/>
      </w:pPr>
      <w:r>
        <w:rPr>
          <w:b w:val="0"/>
          <w:i w:val="0"/>
          <w:sz w:val="22"/>
        </w:rPr>
        <w:t>Figure 3: Fixed-parameter model MAPE (%) by country and base year.</w:t>
        <w:br/>
        <w:t>Note: Greener cells indicate better fit; redder cells indicate poorer fit. Scale capped at 30%. Longer projection horizons show greater misfit, reflecting accumulating demographic change unaccounted for by fixed parameters.</w:t>
      </w:r>
    </w:p>
    <w:p>
      <w:pPr>
        <w:spacing w:after="240"/>
      </w:pPr>
      <w:r>
        <w:rPr>
          <w:b w:val="0"/>
          <w:i w:val="0"/>
          <w:sz w:val="22"/>
        </w:rPr>
        <w:t>Figure 4: Four-model comparison—MAPE and final population ratio by country.</w:t>
        <w:br/>
        <w:t>Note: Left panel: MAPE by country for fixed-parameter (red), tempo-invariant (orange), tempo-responsive (blue), and tempo-adjusted TFR* (green). Right panel: final population ratio (model/observed in 2023). The tempo-adjusted model (TFR*) achieves the best overall fit, particularly in countries with strong postponement.</w:t>
      </w:r>
    </w:p>
    <w:p>
      <w:pPr>
        <w:spacing w:after="240"/>
      </w:pPr>
      <w:r>
        <w:rPr>
          <w:b w:val="0"/>
          <w:i w:val="0"/>
          <w:sz w:val="22"/>
        </w:rPr>
        <w:t>Figure 5: Model bias analysis using base year 2000.</w:t>
        <w:br/>
        <w:t>Note: (a) Fit versus TFR; (b) fit versus life expectancy; (c) bias versus MAC. No systematic relationship is observed.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