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2"/>
        </w:rPr>
        <w:t>[Date]</w:t>
      </w:r>
    </w:p>
    <w:p>
      <w:pPr>
        <w:spacing w:after="0"/>
      </w:pPr>
      <w:r>
        <w:rPr>
          <w:b/>
          <w:i w:val="0"/>
          <w:sz w:val="22"/>
        </w:rPr>
        <w:t>The Editor</w:t>
      </w:r>
    </w:p>
    <w:p>
      <w:pPr>
        <w:spacing w:after="0"/>
      </w:pPr>
      <w:r>
        <w:rPr>
          <w:b w:val="0"/>
          <w:i/>
          <w:sz w:val="22"/>
        </w:rPr>
        <w:t>Anaesthesia</w:t>
      </w:r>
    </w:p>
    <w:p>
      <w:pPr>
        <w:spacing w:after="240"/>
      </w:pPr>
      <w:r>
        <w:rPr>
          <w:b w:val="0"/>
          <w:i w:val="0"/>
          <w:sz w:val="22"/>
        </w:rPr>
        <w:t>Association of Anaesthetists</w:t>
      </w:r>
    </w:p>
    <w:p>
      <w:pPr>
        <w:spacing w:after="240"/>
      </w:pPr>
      <w:r>
        <w:rPr>
          <w:b/>
          <w:i w:val="0"/>
          <w:sz w:val="22"/>
        </w:rPr>
        <w:t>Re: Submission of Original Article – "Impact of the European Union desflurane regulation on secondary market prices of anaesthetic vaporisers: a cross-sectional time-series analysis of eBay sold listings"</w:t>
      </w:r>
    </w:p>
    <w:p>
      <w:pPr>
        <w:spacing w:after="120"/>
      </w:pPr>
      <w:r>
        <w:rPr>
          <w:b w:val="0"/>
          <w:i w:val="0"/>
          <w:sz w:val="22"/>
        </w:rPr>
        <w:t>Dear Editor,</w:t>
      </w:r>
    </w:p>
    <w:p>
      <w:pPr>
        <w:spacing w:after="120"/>
      </w:pPr>
      <w:r>
        <w:rPr>
          <w:b w:val="0"/>
          <w:i w:val="0"/>
          <w:sz w:val="22"/>
        </w:rPr>
        <w:t>We are pleased to submit the above manuscript for consideration as an Original Article in Anaesthesia. This study provides the first empirical evidence that environmental regulation of an inhaled anaesthetic agent produces agent-specific economic consequences in the secondary medical equipment market.</w:t>
      </w:r>
    </w:p>
    <w:p>
      <w:pPr>
        <w:spacing w:after="120"/>
      </w:pPr>
      <w:r>
        <w:rPr>
          <w:b w:val="0"/>
          <w:i w:val="0"/>
          <w:sz w:val="22"/>
        </w:rPr>
        <w:t>Using three years of eBay sold-listing data (n = 1,033) obtained via Terapeak, we analysed price trends for desflurane, sevoflurane, and isoflurane vaporisers spanning the entire legislative timeline of the EU F-gas Regulation (EU) 2024/573. Desflurane vaporiser prices showed a statistically significant monotonic decline (Spearman ρ = −0.28, p &lt; 0.001), with progressive price erosion across successive regulatory milestones confirmed by Kendall τ (τ = −0.12, p = 0.049). Pre-to-post-ban mean prices fell by 31% (Cohen’s d = 0.55). Crucially, sevoflurane (ρ = 0.01, p = 0.862) and isoflurane (ρ = −0.086, p = 0.044) vaporiser prices remained clinically stable throughout, serving as natural comparator groups and strengthening the inference that the desflurane price decline was regulation-specific rather than attributable to broader market forces.</w:t>
      </w:r>
    </w:p>
    <w:p>
      <w:pPr>
        <w:spacing w:after="120"/>
      </w:pPr>
      <w:r>
        <w:rPr>
          <w:b w:val="0"/>
          <w:i w:val="0"/>
          <w:sz w:val="22"/>
        </w:rPr>
        <w:t>We believe this manuscript is well suited to Anaesthesia for several reasons. First, Anaesthesia has been at the forefront of the environmental sustainability agenda in anaesthetic practice, including the landmark Association of Anaesthetists position on desflurane and the broader sustainability guidance. Our findings add an economic dimension to this discourse by quantifying the downstream financial consequences of regulation on equipment owners. Second, the concept of ‘regulatory obsolescence’ – where policy action erodes the residual value of agent-specific capital equipment – is directly relevant to anaesthetists, department heads, and hospital procurement teams planning capital expenditure. Third, the study design (STROBE-compliant cross-sectional analysis with built-in comparator agents) offers a novel, reproducible methodological approach for evaluating the economic impact of environmental health policy on medical equipment markets.</w:t>
      </w:r>
    </w:p>
    <w:p>
      <w:pPr>
        <w:spacing w:after="120"/>
      </w:pPr>
      <w:r>
        <w:rPr>
          <w:b w:val="0"/>
          <w:i w:val="0"/>
          <w:sz w:val="22"/>
        </w:rPr>
        <w:t>A comprehensive literature review confirmed that no prior study has quantitatively analysed the impact of inhaled anaesthetic environmental regulation on secondary market equipment values. This study therefore opens a new line of inquiry at the intersection of sustainability policy and health economics.</w:t>
      </w:r>
    </w:p>
    <w:p>
      <w:pPr>
        <w:spacing w:after="120"/>
      </w:pPr>
      <w:r>
        <w:rPr>
          <w:b w:val="0"/>
          <w:i w:val="0"/>
          <w:sz w:val="22"/>
        </w:rPr>
        <w:t>This is an observational study of publicly available, anonymised marketplace data; no human participants or patient data were involved, and ethical approval was therefore not required. The manuscript has not been published elsewhere and is not under consideration by any other journal. All authors have reviewed and approved the manuscript and meet the ICMJE authorship criteria. There are no conflicts of interest to declare. No external funding was received.</w:t>
      </w:r>
    </w:p>
    <w:p>
      <w:pPr>
        <w:spacing w:after="120"/>
      </w:pPr>
      <w:r>
        <w:rPr>
          <w:b w:val="0"/>
          <w:i w:val="0"/>
          <w:sz w:val="22"/>
        </w:rPr>
        <w:t>The manuscript is reported in accordance with the STROBE statement for cross-sectional studies. A completed STROBE checklist is included with this submission.</w:t>
      </w:r>
    </w:p>
    <w:p>
      <w:pPr>
        <w:spacing w:after="240"/>
      </w:pPr>
      <w:r>
        <w:rPr>
          <w:b w:val="0"/>
          <w:i w:val="0"/>
          <w:sz w:val="22"/>
        </w:rPr>
        <w:t>We would welcome the opportunity for peer review in Anaesthesia and look forward to hearing from the editorial team.</w:t>
      </w:r>
    </w:p>
    <w:p>
      <w:pPr>
        <w:spacing w:after="480"/>
      </w:pPr>
      <w:r>
        <w:rPr>
          <w:b w:val="0"/>
          <w:i w:val="0"/>
          <w:sz w:val="22"/>
        </w:rPr>
        <w:t>Yours sincerely,</w:t>
      </w:r>
    </w:p>
    <w:p>
      <w:pPr>
        <w:spacing w:after="0"/>
      </w:pPr>
      <w:r>
        <w:rPr>
          <w:b/>
          <w:i w:val="0"/>
          <w:sz w:val="22"/>
        </w:rPr>
        <w:t>[Corresponding author name]</w:t>
      </w:r>
    </w:p>
    <w:p>
      <w:pPr>
        <w:spacing w:after="0"/>
      </w:pPr>
      <w:r>
        <w:rPr>
          <w:b w:val="0"/>
          <w:i w:val="0"/>
          <w:sz w:val="22"/>
        </w:rPr>
        <w:t>[Title / Position]</w:t>
      </w:r>
    </w:p>
    <w:p>
      <w:pPr>
        <w:spacing w:after="0"/>
      </w:pPr>
      <w:r>
        <w:rPr>
          <w:b w:val="0"/>
          <w:i w:val="0"/>
          <w:sz w:val="22"/>
        </w:rPr>
        <w:t>[Institution]</w:t>
      </w:r>
    </w:p>
    <w:p>
      <w:pPr>
        <w:spacing w:after="0"/>
      </w:pPr>
      <w:r>
        <w:rPr>
          <w:b w:val="0"/>
          <w:i w:val="0"/>
          <w:sz w:val="22"/>
        </w:rPr>
        <w:t>[Address]</w:t>
      </w:r>
    </w:p>
    <w:p>
      <w:pPr>
        <w:spacing w:after="0"/>
      </w:pPr>
      <w:r>
        <w:rPr>
          <w:b w:val="0"/>
          <w:i w:val="0"/>
          <w:sz w:val="22"/>
        </w:rPr>
        <w:t>[Email address]</w:t>
      </w:r>
    </w:p>
    <w:p>
      <w:pPr>
        <w:spacing w:after="0"/>
      </w:pPr>
      <w:r>
        <w:rPr>
          <w:b w:val="0"/>
          <w:i w:val="0"/>
          <w:sz w:val="22"/>
        </w:rPr>
        <w:t>[Telephone number]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