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2"/>
        </w:rPr>
        <w:t>[日付]</w:t>
      </w:r>
    </w:p>
    <w:p>
      <w:pPr>
        <w:spacing w:after="0"/>
      </w:pPr>
      <w:r>
        <w:rPr>
          <w:b/>
          <w:i w:val="0"/>
          <w:sz w:val="22"/>
        </w:rPr>
        <w:t>編集部御中</w:t>
      </w:r>
    </w:p>
    <w:p>
      <w:pPr>
        <w:spacing w:after="0"/>
      </w:pPr>
      <w:r>
        <w:rPr>
          <w:b w:val="0"/>
          <w:i/>
          <w:sz w:val="22"/>
        </w:rPr>
        <w:t>Anaesthesia</w:t>
      </w:r>
    </w:p>
    <w:p>
      <w:pPr>
        <w:spacing w:after="240"/>
      </w:pPr>
      <w:r>
        <w:rPr>
          <w:b w:val="0"/>
          <w:i w:val="0"/>
          <w:sz w:val="22"/>
        </w:rPr>
        <w:t>Association of Anaesthetists</w:t>
      </w:r>
    </w:p>
    <w:p>
      <w:pPr>
        <w:spacing w:after="240"/>
      </w:pPr>
      <w:r>
        <w:rPr>
          <w:b/>
          <w:i w:val="0"/>
          <w:sz w:val="22"/>
        </w:rPr>
        <w:t>件名: 原著論文投稿 – 「EUデスフルラン規制が麻酔気化器の中古市場価格に与える影響：eBay落札データの横断的時系列分析」</w:t>
      </w:r>
    </w:p>
    <w:p>
      <w:pPr>
        <w:spacing w:after="120"/>
      </w:pPr>
      <w:r>
        <w:rPr>
          <w:b w:val="0"/>
          <w:i w:val="0"/>
          <w:sz w:val="22"/>
        </w:rPr>
        <w:t>編集委員会御中</w:t>
      </w:r>
    </w:p>
    <w:p>
      <w:pPr>
        <w:spacing w:after="120"/>
      </w:pPr>
      <w:r>
        <w:rPr>
          <w:b w:val="0"/>
          <w:i w:val="0"/>
          <w:sz w:val="22"/>
        </w:rPr>
        <w:t>上記の論文をAnaesthesia誌のOriginal Articleとしてご検討いただきたく、投稿いたします。本研究は、吸入麻酔薬の環境規制が中古医療機器市場に薬剤特異的な経済的影響を及ぼすことを示す初めての実証的エビデンスを提供します。</w:t>
      </w:r>
    </w:p>
    <w:p>
      <w:pPr>
        <w:spacing w:after="120"/>
      </w:pPr>
      <w:r>
        <w:rPr>
          <w:b w:val="0"/>
          <w:i w:val="0"/>
          <w:sz w:val="22"/>
        </w:rPr>
        <w:t>eBayの3年分の落札データ（n = 1,033）をTerapeak経由で取得し、EU Fガス規則（EU） 2024/573の全立法過程におけるデスフルラン、セボフルラン、イソフルラン気化器の価格推移を分析しました。デスフルラン気化器価格は統計的に有意な単調的下落を示し（Spearman ρ = −0.28, p &lt; 0.001）、規制マイルストーンに沿った段階的下落がKendall τで確認されました（τ = −0.12, p = 0.049）。規制前後の平均価格は31%下落しました（Cohenのd = 0.55）。一方、セボフルラン（ρ = 0.01, p = 0.862）およびイソフルラン（ρ = −0.086, p = 0.044）の価格は臨床的に安定しており、自然対照群として機能しました。</w:t>
      </w:r>
    </w:p>
    <w:p>
      <w:pPr>
        <w:spacing w:after="120"/>
      </w:pPr>
      <w:r>
        <w:rPr>
          <w:b w:val="0"/>
          <w:i w:val="0"/>
          <w:sz w:val="22"/>
        </w:rPr>
        <w:t>本論文がAnaesthesiaにふさわしい理由は以下の通りです。第一に、Anaesthesia誌は麻酔実践における環境持続可能性の議論をリードしており、Association of Anaesthetistsのデスフルランに関する立場表明や広範な持続可能性ガイダンスを発表しています。本研究はこの議論に経済的側面を加えます。第二に、「規制による陳腐化」の概念は、麻酔科医、部門責任者、病院購買部門にとって直接関係があります。第三に、STROBE準拠の横断的分析という研究デザインは、医療規制の経済的影響を研究するための新規かつ再現可能な方法論的アプローチを提示しています。</w:t>
      </w:r>
    </w:p>
    <w:p>
      <w:pPr>
        <w:spacing w:after="120"/>
      </w:pPr>
      <w:r>
        <w:rPr>
          <w:b w:val="0"/>
          <w:i w:val="0"/>
          <w:sz w:val="22"/>
        </w:rPr>
        <w:t>包括的な文献レビューの結果、吸入麻酔薬の環境規制が関連機器の中古市場に与える影響を定量的に分析した先行研究は存在しないことが確認されました。本研究は、持続可能性政策と保健医療経済学の接点における新たな研究領域を開くものです。</w:t>
      </w:r>
    </w:p>
    <w:p>
      <w:pPr>
        <w:spacing w:after="120"/>
      </w:pPr>
      <w:r>
        <w:rPr>
          <w:b w:val="0"/>
          <w:i w:val="0"/>
          <w:sz w:val="22"/>
        </w:rPr>
        <w:t>本研究は公開された匿名のマーケットプレイスデータのみを使用した観察研究であり、ヒトを対象とせず、患者データや個人を特定できる情報も含まれていないため、倫理審査は不要です。本論文は未発表であり、他誌での査読も受けていません。すべての著者は原稿を確認・承認し、ICMJEの著者資格基準を満たしています。利益相反はありません。外部資金は受けていません。</w:t>
      </w:r>
    </w:p>
    <w:p>
      <w:pPr>
        <w:spacing w:after="120"/>
      </w:pPr>
      <w:r>
        <w:rPr>
          <w:b w:val="0"/>
          <w:i w:val="0"/>
          <w:sz w:val="22"/>
        </w:rPr>
        <w:t>本論文は横断研究のSTROBE声明に準拠して作成されています。STROBEチェックリストを同封します。</w:t>
      </w:r>
    </w:p>
    <w:p>
      <w:pPr>
        <w:spacing w:after="240"/>
      </w:pPr>
      <w:r>
        <w:rPr>
          <w:b w:val="0"/>
          <w:i w:val="0"/>
          <w:sz w:val="22"/>
        </w:rPr>
        <w:t>Anaesthesiaでの査読の機会をいただければ幸いです。編集部からのご意見をお待ちしております。</w:t>
      </w:r>
    </w:p>
    <w:p>
      <w:pPr>
        <w:spacing w:after="480"/>
      </w:pPr>
      <w:r>
        <w:rPr>
          <w:b w:val="0"/>
          <w:i w:val="0"/>
          <w:sz w:val="22"/>
        </w:rPr>
        <w:t>敬具</w:t>
      </w:r>
    </w:p>
    <w:p>
      <w:pPr>
        <w:spacing w:after="0"/>
      </w:pPr>
      <w:r>
        <w:rPr>
          <w:b/>
          <w:i w:val="0"/>
          <w:sz w:val="22"/>
        </w:rPr>
        <w:t>[責任著者名]</w:t>
      </w:r>
    </w:p>
    <w:p>
      <w:pPr>
        <w:spacing w:after="0"/>
      </w:pPr>
      <w:r>
        <w:rPr>
          <w:b w:val="0"/>
          <w:i w:val="0"/>
          <w:sz w:val="22"/>
        </w:rPr>
        <w:t>[役職・所属]</w:t>
      </w:r>
    </w:p>
    <w:p>
      <w:pPr>
        <w:spacing w:after="0"/>
      </w:pPr>
      <w:r>
        <w:rPr>
          <w:b w:val="0"/>
          <w:i w:val="0"/>
          <w:sz w:val="22"/>
        </w:rPr>
        <w:t>[所属機関]</w:t>
      </w:r>
    </w:p>
    <w:p>
      <w:pPr>
        <w:spacing w:after="0"/>
      </w:pPr>
      <w:r>
        <w:rPr>
          <w:b w:val="0"/>
          <w:i w:val="0"/>
          <w:sz w:val="22"/>
        </w:rPr>
        <w:t>[住所]</w:t>
      </w:r>
    </w:p>
    <w:p>
      <w:pPr>
        <w:spacing w:after="0"/>
      </w:pPr>
      <w:r>
        <w:rPr>
          <w:b w:val="0"/>
          <w:i w:val="0"/>
          <w:sz w:val="22"/>
        </w:rPr>
        <w:t>[メールアドレス]</w:t>
      </w:r>
    </w:p>
    <w:p>
      <w:pPr>
        <w:spacing w:after="0"/>
      </w:pPr>
      <w:r>
        <w:rPr>
          <w:b w:val="0"/>
          <w:i w:val="0"/>
          <w:sz w:val="22"/>
        </w:rPr>
        <w:t>[電話番号]</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