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2"/>
        </w:rPr>
        <w:t>[Date]</w:t>
      </w:r>
    </w:p>
    <w:p>
      <w:pPr>
        <w:spacing w:after="0"/>
      </w:pPr>
      <w:r>
        <w:rPr>
          <w:b/>
          <w:i w:val="0"/>
          <w:sz w:val="22"/>
        </w:rPr>
        <w:t>The Editor-in-Chief</w:t>
      </w:r>
    </w:p>
    <w:p>
      <w:pPr>
        <w:spacing w:after="0"/>
      </w:pPr>
      <w:r>
        <w:rPr>
          <w:b w:val="0"/>
          <w:i/>
          <w:sz w:val="22"/>
        </w:rPr>
        <w:t>European Journal of Anaesthesiology</w:t>
      </w:r>
    </w:p>
    <w:p>
      <w:pPr>
        <w:spacing w:after="240"/>
      </w:pPr>
      <w:r>
        <w:rPr>
          <w:b w:val="0"/>
          <w:i w:val="0"/>
          <w:sz w:val="22"/>
        </w:rPr>
      </w:r>
    </w:p>
    <w:p>
      <w:pPr>
        <w:spacing w:after="240"/>
      </w:pPr>
      <w:r>
        <w:rPr>
          <w:b/>
          <w:sz w:val="22"/>
        </w:rPr>
        <w:t xml:space="preserve">Re: </w:t>
      </w:r>
      <w:r>
        <w:rPr>
          <w:sz w:val="22"/>
        </w:rPr>
        <w:t>Submission of original article – “Economic consequences of the European Union desflurane ban for anaesthetic equipment: a cross-sectional time-series analysis of secondary market vaporiser prices”</w:t>
      </w:r>
    </w:p>
    <w:p>
      <w:pPr>
        <w:spacing w:after="240"/>
      </w:pPr>
      <w:r>
        <w:rPr>
          <w:b w:val="0"/>
          <w:i w:val="0"/>
          <w:sz w:val="22"/>
        </w:rPr>
        <w:t>Dear Editor,</w:t>
      </w:r>
    </w:p>
    <w:p>
      <w:pPr>
        <w:spacing w:after="160"/>
      </w:pPr>
      <w:r>
        <w:rPr>
          <w:b w:val="0"/>
          <w:i w:val="0"/>
          <w:sz w:val="22"/>
        </w:rPr>
        <w:t>We are pleased to submit the above manuscript for consideration for publication in the European Journal of Anaesthesiology as an original article.</w:t>
      </w:r>
    </w:p>
    <w:p>
      <w:pPr>
        <w:spacing w:after="160"/>
      </w:pPr>
      <w:r>
        <w:rPr>
          <w:b w:val="0"/>
          <w:i w:val="0"/>
          <w:sz w:val="22"/>
        </w:rPr>
        <w:t>The European Union’s prohibition of desflurane for routine anaesthesia (Regulation (EU) 2024/573), effective 1 January 2026, represents the first mandatory governmental restriction on a specific anaesthetic agent based on environmental grounds. While the clinical and environmental rationale for this regulation has been extensively debated, the downstream economic consequences for existing equipment remain unexplored.</w:t>
      </w:r>
    </w:p>
    <w:p>
      <w:pPr>
        <w:spacing w:after="160"/>
      </w:pPr>
      <w:r>
        <w:rPr>
          <w:b w:val="0"/>
          <w:i w:val="0"/>
          <w:sz w:val="22"/>
        </w:rPr>
        <w:t>In this study, we analysed 1,033 completed eBay sales of anaesthetic vaporisers (desflurane, sevoflurane and isoflurane) over three years, spanning the full legislative trajectory from the EC proposal through to post-ban implementation. Using complementary statistical approaches (Spearman rank correlation, Kendall τ trend test, Mann–Whitney U and between-agent effect size comparison), we provide the first empirical evidence that the EU desflurane regulation was associated with a progressive, agent-specific decline in secondary market vaporiser prices. The desflurane effect size was significantly larger than that of sevoflurane (P=0.043), and sevoflurane and isoflurane vaporiser prices remained stable throughout, serving as natural controls.</w:t>
      </w:r>
    </w:p>
    <w:p>
      <w:pPr>
        <w:spacing w:after="160"/>
      </w:pPr>
      <w:r>
        <w:rPr>
          <w:b w:val="0"/>
          <w:i w:val="0"/>
          <w:sz w:val="22"/>
        </w:rPr>
        <w:t>Critically, a substantial proportion of the price depreciation occurred during the legislative process itself, before the ban took effect. This anticipatory market response suggests that the regulation was perceived as credible and well signalled, generating predictable economic consequences. Our data indicate that early compliance during the legislative phase—rather than delayed action at the point of prohibition—was associated with better cost recovery, freeing capital for reinvestment in alternative equipment and thereby supporting broader anaesthetic choice and patient care.</w:t>
      </w:r>
    </w:p>
    <w:p>
      <w:pPr>
        <w:spacing w:after="160"/>
      </w:pPr>
      <w:r>
        <w:rPr>
          <w:b w:val="0"/>
          <w:i w:val="0"/>
          <w:sz w:val="22"/>
        </w:rPr>
        <w:t>We believe this work is particularly well suited for EJA because: (1) it directly addresses the consequences of European anaesthesia policy, specifically the EU F-gas Regulation which is of primary relevance to EJA’s readership; (2) it provides empirical evidence that well-designed environmental regulation produces predictable, measurable economic outcomes—a finding of interest to both clinicians and policymakers; (3) it demonstrates that early compliance yields economic advantages that can support equipment reinvestment and patient care; and (4) it offers a generalisable framework for anticipating equipment depreciation under future environmental regulations (e.g. nitrous oxide).</w:t>
      </w:r>
    </w:p>
    <w:p>
      <w:pPr>
        <w:spacing w:after="160"/>
      </w:pPr>
      <w:r>
        <w:rPr>
          <w:b w:val="0"/>
          <w:i w:val="0"/>
          <w:sz w:val="22"/>
        </w:rPr>
        <w:t>This manuscript has not been published elsewhere and is not under consideration by another journal. All authors have read and approved the final manuscript and meet ICMJE authorship criteria. There are no conflicts of interest to declare. No ethical approval was required as the study analysed publicly available, anonymised marketplace data with no human participant involvement.</w:t>
      </w:r>
    </w:p>
    <w:p>
      <w:pPr>
        <w:spacing w:after="160"/>
      </w:pPr>
      <w:r>
        <w:rPr>
          <w:b w:val="0"/>
          <w:i w:val="0"/>
          <w:sz w:val="22"/>
        </w:rPr>
        <w:t>The study is reported in accordance with the STROBE guidelines for cross-sectional studies. The completed STROBE checklist is provided as supplementary material.</w:t>
      </w:r>
    </w:p>
    <w:p>
      <w:pPr>
        <w:spacing w:after="240"/>
      </w:pPr>
      <w:r>
        <w:rPr>
          <w:b w:val="0"/>
          <w:i w:val="0"/>
          <w:sz w:val="22"/>
        </w:rPr>
        <w:t>Thank you for considering this manuscript. We look forward to your response.</w:t>
      </w:r>
    </w:p>
    <w:p>
      <w:pPr>
        <w:spacing w:after="480"/>
      </w:pPr>
      <w:r>
        <w:rPr>
          <w:b w:val="0"/>
          <w:i w:val="0"/>
          <w:sz w:val="22"/>
        </w:rPr>
        <w:t>Yours sincerely,</w:t>
      </w:r>
    </w:p>
    <w:p>
      <w:pPr>
        <w:spacing w:after="0"/>
      </w:pPr>
      <w:r>
        <w:rPr>
          <w:b/>
          <w:i w:val="0"/>
          <w:sz w:val="22"/>
        </w:rPr>
        <w:t>[Corresponding author name]</w:t>
      </w:r>
    </w:p>
    <w:p>
      <w:pPr>
        <w:spacing w:after="0"/>
      </w:pPr>
      <w:r>
        <w:rPr>
          <w:b w:val="0"/>
          <w:i w:val="0"/>
          <w:sz w:val="22"/>
        </w:rPr>
        <w:t>[Department]</w:t>
      </w:r>
    </w:p>
    <w:p>
      <w:pPr>
        <w:spacing w:after="0"/>
      </w:pPr>
      <w:r>
        <w:rPr>
          <w:b w:val="0"/>
          <w:i w:val="0"/>
          <w:sz w:val="22"/>
        </w:rPr>
        <w:t>[Institution]</w:t>
      </w:r>
    </w:p>
    <w:p>
      <w:pPr>
        <w:spacing w:after="0"/>
      </w:pPr>
      <w:r>
        <w:rPr>
          <w:b w:val="0"/>
          <w:i w:val="0"/>
          <w:sz w:val="22"/>
        </w:rPr>
        <w:t>[Address]</w:t>
      </w:r>
    </w:p>
    <w:p>
      <w:pPr>
        <w:spacing w:after="0"/>
      </w:pPr>
      <w:r>
        <w:rPr>
          <w:b w:val="0"/>
          <w:i w:val="0"/>
          <w:sz w:val="22"/>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