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Key Points</w:t>
      </w:r>
    </w:p>
    <w:p>
      <w:pPr>
        <w:pStyle w:val="ListBullet"/>
      </w:pPr>
      <w:r>
        <w:rPr>
          <w:rFonts w:ascii="Times New Roman" w:hAnsi="Times New Roman"/>
          <w:sz w:val="22"/>
        </w:rPr>
        <w:t>The EU desflurane ban was associated with a progressive, agent-specific decline in secondary market vaporiser prices, while sevoflurane and isoflurane prices remained stable.</w:t>
      </w:r>
    </w:p>
    <w:p>
      <w:pPr>
        <w:pStyle w:val="ListBullet"/>
      </w:pPr>
      <w:r>
        <w:rPr>
          <w:rFonts w:ascii="Times New Roman" w:hAnsi="Times New Roman"/>
          <w:sz w:val="22"/>
        </w:rPr>
        <w:t>The desflurane price decline began during the legislative process, well before the formal prohibition date, demonstrating that the regulation was well signalled and its economic consequences were predictable.</w:t>
      </w:r>
    </w:p>
    <w:p>
      <w:pPr>
        <w:pStyle w:val="ListBullet"/>
      </w:pPr>
      <w:r>
        <w:rPr>
          <w:rFonts w:ascii="Times New Roman" w:hAnsi="Times New Roman"/>
          <w:sz w:val="22"/>
        </w:rPr>
        <w:t>Between-agent comparison confirmed that the desflurane effect size was significantly larger than that of sevoflurane (P=0.043), providing quantitative evidence of agent-specificity.</w:t>
      </w:r>
    </w:p>
    <w:p>
      <w:pPr>
        <w:pStyle w:val="ListBullet"/>
      </w:pPr>
      <w:r>
        <w:rPr>
          <w:rFonts w:ascii="Times New Roman" w:hAnsi="Times New Roman"/>
          <w:sz w:val="22"/>
        </w:rPr>
        <w:t>Early compliance with the regulation during the legislative phase was associated with better cost recovery on the secondary market, potentially freeing capital for reinvestment in alternative equipment.</w:t>
      </w:r>
    </w:p>
    <w:p>
      <w:pPr>
        <w:pStyle w:val="ListBullet"/>
      </w:pPr>
      <w:r>
        <w:rPr>
          <w:rFonts w:ascii="Times New Roman" w:hAnsi="Times New Roman"/>
          <w:sz w:val="22"/>
        </w:rPr>
        <w:t>These findings suggest that well-designed environmental regulation of anaesthetic agents can produce measurable, predictable economic outcomes, and that early adoption may support broader anaesthetic choice and patient care.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