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i w:val="0"/>
          <w:sz w:val="20"/>
        </w:rPr>
        <w:t xml:space="preserve">Table 1. </w:t>
      </w:r>
      <w:r>
        <w:rPr>
          <w:rFonts w:ascii="Times New Roman" w:hAnsi="Times New Roman"/>
          <w:b w:val="0"/>
          <w:i/>
          <w:sz w:val="20"/>
        </w:rPr>
        <w:t>Time-series trend analysis of vaporiser prices by agent type. Spearman rank correlation tests monotonic association between sale date and price; Kendall τ tests association between ordered regulatory phase and price.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Agent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Spearman ρ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 value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Kendall τ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 value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Quarterly ρ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 value</w:t>
            </w:r>
          </w:p>
        </w:tc>
      </w:tr>
      <w:tr>
        <w:tc>
          <w:tcPr>
            <w:tcW w:type="dxa" w:w="126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Desflurane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-0.277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&lt;0.001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-0.121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0.049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-0.577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0.039</w:t>
            </w:r>
          </w:p>
        </w:tc>
      </w:tr>
      <w:tr>
        <w:tc>
          <w:tcPr>
            <w:tcW w:type="dxa" w:w="126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Sevoflurane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0.010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0.862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0.039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0.365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0.144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0.640</w:t>
            </w:r>
          </w:p>
        </w:tc>
      </w:tr>
      <w:tr>
        <w:tc>
          <w:tcPr>
            <w:tcW w:type="dxa" w:w="126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Isoflurane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-0.086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0.044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-0.074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0.025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-0.321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0.285</w:t>
            </w:r>
          </w:p>
        </w:tc>
      </w:tr>
    </w:tbl>
    <w:sectPr w:rsidR="00FC693F" w:rsidRPr="0006063C" w:rsidSect="0003461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