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0"/>
        </w:rPr>
        <w:t xml:space="preserve">Table 2. </w:t>
      </w:r>
      <w:r>
        <w:rPr>
          <w:rFonts w:ascii="Times New Roman" w:hAnsi="Times New Roman"/>
          <w:b w:val="0"/>
          <w:i/>
          <w:sz w:val="20"/>
        </w:rPr>
        <w:t>Pre- and post-ban vaporiser prices by agent type with between-agent effect size comparison. Values are mean ± SD in US dollars.</w:t>
      </w:r>
    </w:p>
    <w:p>
      <w:r>
        <w:rPr>
          <w:rFonts w:ascii="Times New Roman" w:hAnsi="Times New Roman"/>
          <w:b/>
          <w:i w:val="0"/>
          <w:sz w:val="18"/>
        </w:rPr>
        <w:t xml:space="preserve">Panel A. </w:t>
      </w:r>
      <w:r>
        <w:rPr>
          <w:rFonts w:ascii="Times New Roman" w:hAnsi="Times New Roman"/>
          <w:b w:val="0"/>
          <w:i/>
          <w:sz w:val="18"/>
        </w:rPr>
        <w:t>Descriptive statistics and within-agent effect sizes (pre- vs post-ban)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Agent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 (pre/post)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Pre-ban mean ± SD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Post-ban mean ± SD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 change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Cohen’s d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126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141/17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$238 ± 195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$164 ± 113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-31.4%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0.40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-0.11 to 0.90</w:t>
            </w:r>
          </w:p>
        </w:tc>
      </w:tr>
      <w:tr>
        <w:tc>
          <w:tcPr>
            <w:tcW w:type="dxa" w:w="126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287/34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$545 ± 415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$612 ± 365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+12.3%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-0.16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-0.52 to 0.19</w:t>
            </w:r>
          </w:p>
        </w:tc>
      </w:tr>
      <w:tr>
        <w:tc>
          <w:tcPr>
            <w:tcW w:type="dxa" w:w="126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Isoflurane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510/44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$287 ± 215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$255 ± 191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-11.2%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type="dxa" w:w="126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-0.16 to 0.46</w:t>
            </w:r>
          </w:p>
        </w:tc>
      </w:tr>
    </w:tbl>
    <w:p/>
    <w:p>
      <w:r>
        <w:rPr>
          <w:rFonts w:ascii="Times New Roman" w:hAnsi="Times New Roman"/>
          <w:b/>
          <w:i w:val="0"/>
          <w:sz w:val="18"/>
        </w:rPr>
        <w:t xml:space="preserve">Panel B. </w:t>
      </w:r>
      <w:r>
        <w:rPr>
          <w:rFonts w:ascii="Times New Roman" w:hAnsi="Times New Roman"/>
          <w:b w:val="0"/>
          <w:i/>
          <w:sz w:val="18"/>
        </w:rPr>
        <w:t>Between-agent comparison of effect sizes (z-test for independent Cohen’s 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Comparison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Δd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z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 vs Sevoflurane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0.315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1.78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0.075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 vs Isoflurane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0.302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0.82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0.413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 vs Isoflurane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-0.31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0.240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-1.30</w:t>
            </w:r>
          </w:p>
        </w:tc>
        <w:tc>
          <w:tcPr>
            <w:tcW w:type="dxa" w:w="17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0.192</w:t>
            </w:r>
          </w:p>
        </w:tc>
      </w:tr>
    </w:tbl>
    <w:p>
      <w:r>
        <w:rPr>
          <w:rFonts w:ascii="Times New Roman" w:hAnsi="Times New Roman"/>
          <w:b w:val="0"/>
          <w:i/>
          <w:sz w:val="16"/>
        </w:rPr>
        <w:t xml:space="preserve">Within-agent P values (Mann–Whitney U): </w:t>
      </w:r>
      <w:r>
        <w:rPr>
          <w:rFonts w:ascii="Times New Roman" w:hAnsi="Times New Roman"/>
          <w:b w:val="0"/>
          <w:i/>
          <w:sz w:val="16"/>
        </w:rPr>
        <w:t>Desflurane U P=0.148, t P=0.027; Sevoflurane U P=0.150, t P=0.326; Isoflurane U P=0.184, t P=0.297.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