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20"/>
        </w:rPr>
        <w:t xml:space="preserve">Table S1. </w:t>
      </w:r>
      <w:r>
        <w:rPr>
          <w:rFonts w:ascii="Times New Roman" w:hAnsi="Times New Roman"/>
          <w:b w:val="0"/>
          <w:i/>
          <w:sz w:val="20"/>
        </w:rPr>
        <w:t>Current eBay asking prices (active listings) by vaporiser type, collected 27 March 2026. Values are mean (SD), median (IQR) in US dollars. P value from Kruskal–Wallis test across three agent types.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Agent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Mean (SD)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Median (IQR)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Range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 value</w:t>
            </w:r>
          </w:p>
        </w:tc>
      </w:tr>
      <w:tr>
        <w:tc>
          <w:tcPr>
            <w:tcW w:type="dxa" w:w="147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Desflurane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$235 (225)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$178 (80–298)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$30–1336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&lt;0.001</w:t>
            </w:r>
          </w:p>
        </w:tc>
      </w:tr>
      <w:tr>
        <w:tc>
          <w:tcPr>
            <w:tcW w:type="dxa" w:w="147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Sevoflurane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$1263 (552)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$1277 (801–1700)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$397–2527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47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Isoflurane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$651 (401)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$556 (367–832)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$185–1761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