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STROBE Statement—Checklist of items that should be included in reports of cross-sectional studies</w:t>
      </w:r>
    </w:p>
    <w:p>
      <w:pPr>
        <w:spacing w:after="240"/>
        <w:jc w:val="center"/>
      </w:pPr>
      <w:r>
        <w:rPr>
          <w:i/>
          <w:sz w:val="20"/>
        </w:rPr>
        <w:t>Manuscript: Impact of the European Union desflurane regulation on secondary market prices of anaesthetic vaporisers: a cross-sectional time-series analysis of eBay sold listings</w:t>
      </w:r>
    </w:p>
    <w:tbl>
      <w:tblPr>
        <w:tblStyle w:val="TableGrid"/>
        <w:tblW w:type="auto" w:w="0"/>
        <w:jc w:val="center"/>
        <w:tblLook w:firstColumn="1" w:firstRow="1" w:lastColumn="0" w:lastRow="0" w:noHBand="0" w:noVBand="1" w:val="04A0"/>
      </w:tblPr>
      <w:tblGrid>
        <w:gridCol w:w="3641"/>
        <w:gridCol w:w="3641"/>
        <w:gridCol w:w="3641"/>
        <w:gridCol w:w="3641"/>
      </w:tblGrid>
      <w:tr>
        <w:tc>
          <w:tcPr>
            <w:tcW w:type="dxa" w:w="3641"/>
            <w:shd w:fill="2E75B6" w:val="clear"/>
            <w:tcW w:w="850" w:type="dxa"/>
          </w:tcPr>
          <w:p>
            <w:pPr>
              <w:jc w:val="center"/>
            </w:pPr>
            <w:r>
              <w:rPr>
                <w:b/>
                <w:color w:val="FFFFFF"/>
                <w:sz w:val="18"/>
              </w:rPr>
              <w:t>Item No</w:t>
            </w:r>
          </w:p>
        </w:tc>
        <w:tc>
          <w:tcPr>
            <w:tcW w:type="dxa" w:w="3641"/>
            <w:shd w:fill="2E75B6" w:val="clear"/>
            <w:tcW w:w="4536" w:type="dxa"/>
          </w:tcPr>
          <w:p>
            <w:pPr>
              <w:jc w:val="center"/>
            </w:pPr>
            <w:r>
              <w:rPr>
                <w:b/>
                <w:color w:val="FFFFFF"/>
                <w:sz w:val="18"/>
              </w:rPr>
              <w:t>Recommendation</w:t>
            </w:r>
          </w:p>
        </w:tc>
        <w:tc>
          <w:tcPr>
            <w:tcW w:type="dxa" w:w="3641"/>
            <w:shd w:fill="2E75B6" w:val="clear"/>
            <w:tcW w:w="5670" w:type="dxa"/>
          </w:tcPr>
          <w:p>
            <w:pPr>
              <w:jc w:val="center"/>
            </w:pPr>
            <w:r>
              <w:rPr>
                <w:b/>
                <w:color w:val="FFFFFF"/>
                <w:sz w:val="18"/>
              </w:rPr>
              <w:t>Reported on page/section</w:t>
            </w:r>
          </w:p>
        </w:tc>
        <w:tc>
          <w:tcPr>
            <w:tcW w:type="dxa" w:w="3641"/>
            <w:shd w:fill="2E75B6" w:val="clear"/>
            <w:tcW w:w="850" w:type="dxa"/>
          </w:tcPr>
          <w:p>
            <w:pPr>
              <w:jc w:val="center"/>
            </w:pPr>
            <w:r>
              <w:rPr>
                <w:b/>
                <w:color w:val="FFFFFF"/>
                <w:sz w:val="18"/>
              </w:rPr>
              <w:t>Comment</w:t>
            </w:r>
          </w:p>
        </w:tc>
      </w:tr>
      <w:tr>
        <w:tc>
          <w:tcPr>
            <w:tcW w:type="dxa" w:w="14564"/>
            <w:gridSpan w:val="4"/>
            <w:shd w:fill="D6E4F0" w:val="clear"/>
            <w:tcW w:w="850" w:type="dxa"/>
            <w:tcW w:w="4536" w:type="dxa"/>
            <w:tcW w:w="5670" w:type="dxa"/>
            <w:tcW w:w="850" w:type="dxa"/>
          </w:tcPr>
          <w:p>
            <w:r>
              <w:rPr>
                <w:b/>
                <w:sz w:val="18"/>
              </w:rPr>
              <w:t>Title and abstract</w:t>
            </w:r>
          </w:p>
        </w:tc>
      </w:tr>
      <w:tr>
        <w:tc>
          <w:tcPr>
            <w:tcW w:type="dxa" w:w="3641"/>
            <w:tcW w:w="850" w:type="dxa"/>
          </w:tcPr>
          <w:p>
            <w:pPr>
              <w:jc w:val="center"/>
            </w:pPr>
            <w:r>
              <w:rPr>
                <w:b/>
                <w:sz w:val="18"/>
              </w:rPr>
              <w:t>1a</w:t>
            </w:r>
          </w:p>
        </w:tc>
        <w:tc>
          <w:tcPr>
            <w:tcW w:type="dxa" w:w="3641"/>
            <w:tcW w:w="4536" w:type="dxa"/>
          </w:tcPr>
          <w:p>
            <w:r>
              <w:rPr>
                <w:sz w:val="18"/>
              </w:rPr>
              <w:t>Indicate the study’s design with a commonly used term in the title or the abstract</w:t>
            </w:r>
          </w:p>
        </w:tc>
        <w:tc>
          <w:tcPr>
            <w:tcW w:type="dxa" w:w="3641"/>
            <w:tcW w:w="5670" w:type="dxa"/>
          </w:tcPr>
          <w:p>
            <w:r>
              <w:rPr>
                <w:sz w:val="18"/>
              </w:rPr>
              <w:t>Title: "...a cross-sectional time-series analysis of eBay sold listings";</w:t>
              <w:br/>
              <w:t>Summary: "Cross-sectional time-series analysis of completed (sold) listings"</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1b</w:t>
            </w:r>
          </w:p>
        </w:tc>
        <w:tc>
          <w:tcPr>
            <w:tcW w:type="dxa" w:w="3641"/>
            <w:tcW w:w="4536" w:type="dxa"/>
          </w:tcPr>
          <w:p>
            <w:r>
              <w:rPr>
                <w:sz w:val="18"/>
              </w:rPr>
              <w:t>Provide in the abstract an informative and balanced summary of what was done and what was found</w:t>
            </w:r>
          </w:p>
        </w:tc>
        <w:tc>
          <w:tcPr>
            <w:tcW w:type="dxa" w:w="3641"/>
            <w:tcW w:w="5670" w:type="dxa"/>
          </w:tcPr>
          <w:p>
            <w:r>
              <w:rPr>
                <w:sz w:val="18"/>
              </w:rPr>
              <w:t>Summary: Unstructured single-paragraph summary covering objectives, methods, key findings, and conclusions</w:t>
            </w:r>
          </w:p>
        </w:tc>
        <w:tc>
          <w:tcPr>
            <w:tcW w:type="dxa" w:w="3641"/>
            <w:tcW w:w="850" w:type="dxa"/>
          </w:tcPr>
          <w:p>
            <w:pPr>
              <w:jc w:val="center"/>
            </w:pPr>
            <w:r>
              <w:rPr>
                <w:b/>
                <w:color w:val="008000"/>
                <w:sz w:val="18"/>
              </w:rPr>
              <w:t>Yes</w:t>
            </w:r>
          </w:p>
        </w:tc>
      </w:tr>
      <w:tr>
        <w:tc>
          <w:tcPr>
            <w:tcW w:type="dxa" w:w="14564"/>
            <w:gridSpan w:val="4"/>
            <w:shd w:fill="D6E4F0" w:val="clear"/>
            <w:tcW w:w="850" w:type="dxa"/>
            <w:tcW w:w="4536" w:type="dxa"/>
            <w:tcW w:w="5670" w:type="dxa"/>
            <w:tcW w:w="850" w:type="dxa"/>
          </w:tcPr>
          <w:p>
            <w:r>
              <w:rPr>
                <w:b/>
                <w:sz w:val="18"/>
              </w:rPr>
              <w:t>Introduction</w:t>
            </w:r>
          </w:p>
        </w:tc>
      </w:tr>
      <w:tr>
        <w:tc>
          <w:tcPr>
            <w:tcW w:type="dxa" w:w="3641"/>
            <w:tcW w:w="850" w:type="dxa"/>
          </w:tcPr>
          <w:p>
            <w:pPr>
              <w:jc w:val="center"/>
            </w:pPr>
            <w:r>
              <w:rPr>
                <w:b/>
                <w:sz w:val="18"/>
              </w:rPr>
              <w:t>2</w:t>
            </w:r>
          </w:p>
        </w:tc>
        <w:tc>
          <w:tcPr>
            <w:tcW w:type="dxa" w:w="3641"/>
            <w:tcW w:w="4536" w:type="dxa"/>
          </w:tcPr>
          <w:p>
            <w:r>
              <w:rPr>
                <w:sz w:val="18"/>
              </w:rPr>
              <w:t>Explain the scientific background and rationale for the investigation being reported</w:t>
            </w:r>
          </w:p>
        </w:tc>
        <w:tc>
          <w:tcPr>
            <w:tcW w:type="dxa" w:w="3641"/>
            <w:tcW w:w="5670" w:type="dxa"/>
          </w:tcPr>
          <w:p>
            <w:r>
              <w:rPr>
                <w:sz w:val="18"/>
              </w:rPr>
              <w:t>Introduction, paragraphs 1–4: GWP of anaesthetic agents, EU regulatory timeline, economic significance of vaporizers, gap in knowledge</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3</w:t>
            </w:r>
          </w:p>
        </w:tc>
        <w:tc>
          <w:tcPr>
            <w:tcW w:type="dxa" w:w="3641"/>
            <w:tcW w:w="4536" w:type="dxa"/>
          </w:tcPr>
          <w:p>
            <w:r>
              <w:rPr>
                <w:sz w:val="18"/>
              </w:rPr>
              <w:t>State specific objectives, including any prespecified hypotheses</w:t>
            </w:r>
          </w:p>
        </w:tc>
        <w:tc>
          <w:tcPr>
            <w:tcW w:type="dxa" w:w="3641"/>
            <w:tcW w:w="5670" w:type="dxa"/>
          </w:tcPr>
          <w:p>
            <w:r>
              <w:rPr>
                <w:sz w:val="18"/>
              </w:rPr>
              <w:t>Introduction, paragraph 4: "We hypothesised that the EU desflurane regulation would be associated with a progressive decrease in secondary market prices for desflurane vaporizers specifically, while prices for sevoflurane and isoflurane vaporizers would remain stable."</w:t>
            </w:r>
          </w:p>
        </w:tc>
        <w:tc>
          <w:tcPr>
            <w:tcW w:type="dxa" w:w="3641"/>
            <w:tcW w:w="850" w:type="dxa"/>
          </w:tcPr>
          <w:p>
            <w:pPr>
              <w:jc w:val="center"/>
            </w:pPr>
            <w:r>
              <w:rPr>
                <w:b/>
                <w:color w:val="008000"/>
                <w:sz w:val="18"/>
              </w:rPr>
              <w:t>Yes</w:t>
            </w:r>
          </w:p>
        </w:tc>
      </w:tr>
      <w:tr>
        <w:tc>
          <w:tcPr>
            <w:tcW w:type="dxa" w:w="14564"/>
            <w:gridSpan w:val="4"/>
            <w:shd w:fill="D6E4F0" w:val="clear"/>
            <w:tcW w:w="850" w:type="dxa"/>
            <w:tcW w:w="4536" w:type="dxa"/>
            <w:tcW w:w="5670" w:type="dxa"/>
            <w:tcW w:w="850" w:type="dxa"/>
          </w:tcPr>
          <w:p>
            <w:r>
              <w:rPr>
                <w:b/>
                <w:sz w:val="18"/>
              </w:rPr>
              <w:t>Methods</w:t>
            </w:r>
          </w:p>
        </w:tc>
      </w:tr>
      <w:tr>
        <w:tc>
          <w:tcPr>
            <w:tcW w:type="dxa" w:w="3641"/>
            <w:tcW w:w="850" w:type="dxa"/>
          </w:tcPr>
          <w:p>
            <w:pPr>
              <w:jc w:val="center"/>
            </w:pPr>
            <w:r>
              <w:rPr>
                <w:b/>
                <w:sz w:val="18"/>
              </w:rPr>
              <w:t>4</w:t>
            </w:r>
          </w:p>
        </w:tc>
        <w:tc>
          <w:tcPr>
            <w:tcW w:type="dxa" w:w="3641"/>
            <w:tcW w:w="4536" w:type="dxa"/>
          </w:tcPr>
          <w:p>
            <w:r>
              <w:rPr>
                <w:sz w:val="18"/>
              </w:rPr>
              <w:t>Present key elements of study design early in the paper</w:t>
            </w:r>
          </w:p>
        </w:tc>
        <w:tc>
          <w:tcPr>
            <w:tcW w:type="dxa" w:w="3641"/>
            <w:tcW w:w="5670" w:type="dxa"/>
          </w:tcPr>
          <w:p>
            <w:r>
              <w:rPr>
                <w:sz w:val="18"/>
              </w:rPr>
              <w:t>Methods, paragraph 1: "This study is reported following the STROBE guidelines..."</w:t>
              <w:br/>
              <w:t>Study design and data source: "We conducted a cross-sectional time-series analysis..."</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5</w:t>
            </w:r>
          </w:p>
        </w:tc>
        <w:tc>
          <w:tcPr>
            <w:tcW w:type="dxa" w:w="3641"/>
            <w:tcW w:w="4536" w:type="dxa"/>
          </w:tcPr>
          <w:p>
            <w:r>
              <w:rPr>
                <w:sz w:val="18"/>
              </w:rPr>
              <w:t>Describe the setting, locations, and relevant dates, including periods of recruitment, exposure, follow-up, and data collection</w:t>
            </w:r>
          </w:p>
        </w:tc>
        <w:tc>
          <w:tcPr>
            <w:tcW w:type="dxa" w:w="3641"/>
            <w:tcW w:w="5670" w:type="dxa"/>
          </w:tcPr>
          <w:p>
            <w:r>
              <w:rPr>
                <w:sz w:val="18"/>
              </w:rPr>
              <w:t>Study design and data source: "eBay (www.ebay.com)...Data were collected in March 2026, covering the period from 28 March 2023 to 24 March 2026"</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6</w:t>
            </w:r>
          </w:p>
        </w:tc>
        <w:tc>
          <w:tcPr>
            <w:tcW w:type="dxa" w:w="3641"/>
            <w:tcW w:w="4536" w:type="dxa"/>
          </w:tcPr>
          <w:p>
            <w:r>
              <w:rPr>
                <w:sz w:val="18"/>
              </w:rPr>
              <w:t>Cross-sectional study—Give the eligibility criteria, and the sources and methods of selection of participants</w:t>
            </w:r>
          </w:p>
        </w:tc>
        <w:tc>
          <w:tcPr>
            <w:tcW w:type="dxa" w:w="3641"/>
            <w:tcW w:w="5670" w:type="dxa"/>
          </w:tcPr>
          <w:p>
            <w:r>
              <w:rPr>
                <w:sz w:val="18"/>
              </w:rPr>
              <w:t>Eligibility criteria: Inclusion (completed sales, standalone vaporizers, valid price/date) and exclusion criteria (non-vaporizer items, veterinary systems, lot listings, implausible data) fully described</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7</w:t>
            </w:r>
          </w:p>
        </w:tc>
        <w:tc>
          <w:tcPr>
            <w:tcW w:type="dxa" w:w="3641"/>
            <w:tcW w:w="4536" w:type="dxa"/>
          </w:tcPr>
          <w:p>
            <w:r>
              <w:rPr>
                <w:sz w:val="18"/>
              </w:rPr>
              <w:t>Clearly define all outcomes, exposures, predictors, potential confounders, and effect modifiers. Give diagnostic criteria, if applicable</w:t>
            </w:r>
          </w:p>
        </w:tc>
        <w:tc>
          <w:tcPr>
            <w:tcW w:type="dxa" w:w="3641"/>
            <w:tcW w:w="5670" w:type="dxa"/>
          </w:tcPr>
          <w:p>
            <w:r>
              <w:rPr>
                <w:sz w:val="18"/>
              </w:rPr>
              <w:t>Variables: Primary outcome (sale price in USD), exposure (regulatory period classified by milestones), covariates (item title, sale date, quantity). Multi-period classification described.</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8</w:t>
            </w:r>
          </w:p>
        </w:tc>
        <w:tc>
          <w:tcPr>
            <w:tcW w:type="dxa" w:w="3641"/>
            <w:tcW w:w="4536" w:type="dxa"/>
          </w:tcPr>
          <w:p>
            <w:r>
              <w:rPr>
                <w:sz w:val="18"/>
              </w:rPr>
              <w:t>For each variable of interest, give sources of data and details of methods of assessment (measurement). Describe comparability of assessment methods if there is more than one group</w:t>
            </w:r>
          </w:p>
        </w:tc>
        <w:tc>
          <w:tcPr>
            <w:tcW w:type="dxa" w:w="3641"/>
            <w:tcW w:w="5670" w:type="dxa"/>
          </w:tcPr>
          <w:p>
            <w:r>
              <w:rPr>
                <w:sz w:val="18"/>
              </w:rPr>
              <w:t>Study design and data source: "Terapeak, eBay’s official product research tool...provides access to up to three years of historical completed sale data, including item titles, sale prices, sale dates, and quantities sold"</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9</w:t>
            </w:r>
          </w:p>
        </w:tc>
        <w:tc>
          <w:tcPr>
            <w:tcW w:type="dxa" w:w="3641"/>
            <w:tcW w:w="4536" w:type="dxa"/>
          </w:tcPr>
          <w:p>
            <w:r>
              <w:rPr>
                <w:sz w:val="18"/>
              </w:rPr>
              <w:t>Describe any efforts to address potential sources of bias</w:t>
            </w:r>
          </w:p>
        </w:tc>
        <w:tc>
          <w:tcPr>
            <w:tcW w:type="dxa" w:w="3641"/>
            <w:tcW w:w="5670" w:type="dxa"/>
          </w:tcPr>
          <w:p>
            <w:r>
              <w:rPr>
                <w:sz w:val="18"/>
              </w:rPr>
              <w:t>Strengths and limitations: Single marketplace to avoid cross-listing duplicates; acknowledged inability to control for equipment age/condition; acknowledged global marketplace limitation (EU vs non-EU); acknowledged platform selection bias</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10</w:t>
            </w:r>
          </w:p>
        </w:tc>
        <w:tc>
          <w:tcPr>
            <w:tcW w:type="dxa" w:w="3641"/>
            <w:tcW w:w="4536" w:type="dxa"/>
          </w:tcPr>
          <w:p>
            <w:r>
              <w:rPr>
                <w:sz w:val="18"/>
              </w:rPr>
              <w:t>Explain how the study size was arrived at</w:t>
            </w:r>
          </w:p>
        </w:tc>
        <w:tc>
          <w:tcPr>
            <w:tcW w:type="dxa" w:w="3641"/>
            <w:tcW w:w="5670" w:type="dxa"/>
          </w:tcPr>
          <w:p>
            <w:r>
              <w:rPr>
                <w:sz w:val="18"/>
              </w:rPr>
              <w:t>Statistical analysis: "No a priori sample size calculation was performed, as this study aimed to capture all available transactions within the Terapeak data window"</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11</w:t>
            </w:r>
          </w:p>
        </w:tc>
        <w:tc>
          <w:tcPr>
            <w:tcW w:type="dxa" w:w="3641"/>
            <w:tcW w:w="4536" w:type="dxa"/>
          </w:tcPr>
          <w:p>
            <w:r>
              <w:rPr>
                <w:sz w:val="18"/>
              </w:rPr>
              <w:t>Explain how quantitative variables were handled in the analyses. If applicable, describe which groupings were chosen and why</w:t>
            </w:r>
          </w:p>
        </w:tc>
        <w:tc>
          <w:tcPr>
            <w:tcW w:type="dxa" w:w="3641"/>
            <w:tcW w:w="5670" w:type="dxa"/>
          </w:tcPr>
          <w:p>
            <w:r>
              <w:rPr>
                <w:sz w:val="18"/>
              </w:rPr>
              <w:t>Variables: Regulatory period classification (4 phases based on milestones) described with rationale.</w:t>
              <w:br/>
              <w:t>Statistical analysis: LOWESS smoothing, quarterly aggregation described</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12a</w:t>
            </w:r>
          </w:p>
        </w:tc>
        <w:tc>
          <w:tcPr>
            <w:tcW w:type="dxa" w:w="3641"/>
            <w:tcW w:w="4536" w:type="dxa"/>
          </w:tcPr>
          <w:p>
            <w:r>
              <w:rPr>
                <w:sz w:val="18"/>
              </w:rPr>
              <w:t>Describe all statistical methods, including those used to control for confounding</w:t>
            </w:r>
          </w:p>
        </w:tc>
        <w:tc>
          <w:tcPr>
            <w:tcW w:type="dxa" w:w="3641"/>
            <w:tcW w:w="5670" w:type="dxa"/>
          </w:tcPr>
          <w:p>
            <w:r>
              <w:rPr>
                <w:sz w:val="18"/>
              </w:rPr>
              <w:t>Statistical analysis: Mann-Whitney U, Welch’s t-test, Cohen’s d, Spearman rank correlation, Kendall τ, Kruskal-Wallis, LOWESS. Software: Python 3.12, pandas 2.2, scipy 1.14, statsmodels 0.14</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12b</w:t>
            </w:r>
          </w:p>
        </w:tc>
        <w:tc>
          <w:tcPr>
            <w:tcW w:type="dxa" w:w="3641"/>
            <w:tcW w:w="4536" w:type="dxa"/>
          </w:tcPr>
          <w:p>
            <w:r>
              <w:rPr>
                <w:sz w:val="18"/>
              </w:rPr>
              <w:t>Describe any methods used to examine subgroups and interactions</w:t>
            </w:r>
          </w:p>
        </w:tc>
        <w:tc>
          <w:tcPr>
            <w:tcW w:type="dxa" w:w="3641"/>
            <w:tcW w:w="5670" w:type="dxa"/>
          </w:tcPr>
          <w:p>
            <w:r>
              <w:rPr>
                <w:sz w:val="18"/>
              </w:rPr>
              <w:t>Statistical analysis: Agent-specific analyses (desflurane, sevoflurane, isoflurane treated independently); multi-period analysis across regulatory phases</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12c</w:t>
            </w:r>
          </w:p>
        </w:tc>
        <w:tc>
          <w:tcPr>
            <w:tcW w:type="dxa" w:w="3641"/>
            <w:tcW w:w="4536" w:type="dxa"/>
          </w:tcPr>
          <w:p>
            <w:r>
              <w:rPr>
                <w:sz w:val="18"/>
              </w:rPr>
              <w:t>Explain how missing data were addressed</w:t>
            </w:r>
          </w:p>
        </w:tc>
        <w:tc>
          <w:tcPr>
            <w:tcW w:type="dxa" w:w="3641"/>
            <w:tcW w:w="5670" w:type="dxa"/>
          </w:tcPr>
          <w:p>
            <w:r>
              <w:rPr>
                <w:sz w:val="18"/>
              </w:rPr>
              <w:t>Eligibility criteria: Exclusion of "listings with missing or implausible price data"</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12d</w:t>
            </w:r>
          </w:p>
        </w:tc>
        <w:tc>
          <w:tcPr>
            <w:tcW w:type="dxa" w:w="3641"/>
            <w:tcW w:w="4536" w:type="dxa"/>
          </w:tcPr>
          <w:p>
            <w:r>
              <w:rPr>
                <w:sz w:val="18"/>
              </w:rPr>
              <w:t>Cross-sectional study—If applicable, describe analytical methods taking account of sampling strategy</w:t>
            </w:r>
          </w:p>
        </w:tc>
        <w:tc>
          <w:tcPr>
            <w:tcW w:type="dxa" w:w="3641"/>
            <w:tcW w:w="5670" w:type="dxa"/>
          </w:tcPr>
          <w:p>
            <w:r>
              <w:rPr>
                <w:sz w:val="18"/>
              </w:rPr>
              <w:t>N/A — Complete enumeration of all available transactions (no sampling)</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12e</w:t>
            </w:r>
          </w:p>
        </w:tc>
        <w:tc>
          <w:tcPr>
            <w:tcW w:type="dxa" w:w="3641"/>
            <w:tcW w:w="4536" w:type="dxa"/>
          </w:tcPr>
          <w:p>
            <w:r>
              <w:rPr>
                <w:sz w:val="18"/>
              </w:rPr>
              <w:t>Describe any sensitivity analyses</w:t>
            </w:r>
          </w:p>
        </w:tc>
        <w:tc>
          <w:tcPr>
            <w:tcW w:type="dxa" w:w="3641"/>
            <w:tcW w:w="5670" w:type="dxa"/>
          </w:tcPr>
          <w:p>
            <w:r>
              <w:rPr>
                <w:sz w:val="18"/>
              </w:rPr>
              <w:t>Statistical analysis: Welch’s t-test as sensitivity analysis alongside Mann-Whitney U; quarterly median Spearman as aggregated-level sensitivity check; supplementary asking price analysis as robustness check</w:t>
            </w:r>
          </w:p>
        </w:tc>
        <w:tc>
          <w:tcPr>
            <w:tcW w:type="dxa" w:w="3641"/>
            <w:tcW w:w="850" w:type="dxa"/>
          </w:tcPr>
          <w:p>
            <w:pPr>
              <w:jc w:val="center"/>
            </w:pPr>
            <w:r>
              <w:rPr>
                <w:b/>
                <w:color w:val="008000"/>
                <w:sz w:val="18"/>
              </w:rPr>
              <w:t>Yes</w:t>
            </w:r>
          </w:p>
        </w:tc>
      </w:tr>
      <w:tr>
        <w:tc>
          <w:tcPr>
            <w:tcW w:type="dxa" w:w="14564"/>
            <w:gridSpan w:val="4"/>
            <w:shd w:fill="D6E4F0" w:val="clear"/>
            <w:tcW w:w="850" w:type="dxa"/>
            <w:tcW w:w="4536" w:type="dxa"/>
            <w:tcW w:w="5670" w:type="dxa"/>
            <w:tcW w:w="850" w:type="dxa"/>
          </w:tcPr>
          <w:p>
            <w:r>
              <w:rPr>
                <w:b/>
                <w:sz w:val="18"/>
              </w:rPr>
              <w:t>Results</w:t>
            </w:r>
          </w:p>
        </w:tc>
      </w:tr>
      <w:tr>
        <w:tc>
          <w:tcPr>
            <w:tcW w:type="dxa" w:w="3641"/>
            <w:tcW w:w="850" w:type="dxa"/>
          </w:tcPr>
          <w:p>
            <w:pPr>
              <w:jc w:val="center"/>
            </w:pPr>
            <w:r>
              <w:rPr>
                <w:b/>
                <w:sz w:val="18"/>
              </w:rPr>
              <w:t>13a</w:t>
            </w:r>
          </w:p>
        </w:tc>
        <w:tc>
          <w:tcPr>
            <w:tcW w:type="dxa" w:w="3641"/>
            <w:tcW w:w="4536" w:type="dxa"/>
          </w:tcPr>
          <w:p>
            <w:r>
              <w:rPr>
                <w:sz w:val="18"/>
              </w:rPr>
              <w:t>Report numbers of individuals at each stage of study—e.g., numbers potentially eligible, examined for eligibility, confirmed eligible, included in the study, completing follow-up, and analysed</w:t>
            </w:r>
          </w:p>
        </w:tc>
        <w:tc>
          <w:tcPr>
            <w:tcW w:type="dxa" w:w="3641"/>
            <w:tcW w:w="5670" w:type="dxa"/>
          </w:tcPr>
          <w:p>
            <w:r>
              <w:rPr>
                <w:sz w:val="18"/>
              </w:rPr>
              <w:t>Results, Study population: "A total of 1,033 completed eBay sales...after applying exclusion criteria: [n] desflurane, [n] sevoflurane, and [n] isoflurane"</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13b</w:t>
            </w:r>
          </w:p>
        </w:tc>
        <w:tc>
          <w:tcPr>
            <w:tcW w:type="dxa" w:w="3641"/>
            <w:tcW w:w="4536" w:type="dxa"/>
          </w:tcPr>
          <w:p>
            <w:r>
              <w:rPr>
                <w:sz w:val="18"/>
              </w:rPr>
              <w:t>Give reasons for non-participation at each stage</w:t>
            </w:r>
          </w:p>
        </w:tc>
        <w:tc>
          <w:tcPr>
            <w:tcW w:type="dxa" w:w="3641"/>
            <w:tcW w:w="5670" w:type="dxa"/>
          </w:tcPr>
          <w:p>
            <w:r>
              <w:rPr>
                <w:sz w:val="18"/>
              </w:rPr>
              <w:t>Eligibility criteria: Exclusion criteria specified (non-vaporizer items, veterinary systems, lot listings, implausible data)</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14</w:t>
            </w:r>
          </w:p>
        </w:tc>
        <w:tc>
          <w:tcPr>
            <w:tcW w:type="dxa" w:w="3641"/>
            <w:tcW w:w="4536" w:type="dxa"/>
          </w:tcPr>
          <w:p>
            <w:r>
              <w:rPr>
                <w:sz w:val="18"/>
              </w:rPr>
              <w:t>Give characteristics of study participants (e.g., demographic, clinical, social) and information on exposures and potential confounders</w:t>
            </w:r>
          </w:p>
        </w:tc>
        <w:tc>
          <w:tcPr>
            <w:tcW w:type="dxa" w:w="3641"/>
            <w:tcW w:w="5670" w:type="dxa"/>
          </w:tcPr>
          <w:p>
            <w:r>
              <w:rPr>
                <w:sz w:val="18"/>
              </w:rPr>
              <w:t>Table 1: n, mean (SD), median (IQR), range by agent type and regulatory period.</w:t>
              <w:br/>
              <w:t>Results: Vaporizer models described (Tec 6, D-Vapor, Vapor 2000, Sigma Delta, etc.)</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15</w:t>
            </w:r>
          </w:p>
        </w:tc>
        <w:tc>
          <w:tcPr>
            <w:tcW w:type="dxa" w:w="3641"/>
            <w:tcW w:w="4536" w:type="dxa"/>
          </w:tcPr>
          <w:p>
            <w:r>
              <w:rPr>
                <w:sz w:val="18"/>
              </w:rPr>
              <w:t>Cross-sectional study—Report numbers of outcome events or summary measures</w:t>
            </w:r>
          </w:p>
        </w:tc>
        <w:tc>
          <w:tcPr>
            <w:tcW w:type="dxa" w:w="3641"/>
            <w:tcW w:w="5670" w:type="dxa"/>
          </w:tcPr>
          <w:p>
            <w:r>
              <w:rPr>
                <w:sz w:val="18"/>
              </w:rPr>
              <w:t>Table 1: Mean, SD, median, IQR, range for each agent × period.</w:t>
              <w:br/>
              <w:t>Table 2: Spearman ρ, Kendall τ, quarterly ρ with P values.</w:t>
              <w:br/>
              <w:t>Figures 1–6: Visual summaries</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16a</w:t>
            </w:r>
          </w:p>
        </w:tc>
        <w:tc>
          <w:tcPr>
            <w:tcW w:type="dxa" w:w="3641"/>
            <w:tcW w:w="4536" w:type="dxa"/>
          </w:tcPr>
          <w:p>
            <w:r>
              <w:rPr>
                <w:sz w:val="18"/>
              </w:rPr>
              <w:t>Give unadjusted estimates and, if applicable, confounder-adjusted estimates and their precision (e.g., 95% CI). Make clear which confounders were adjusted for and why they were included</w:t>
            </w:r>
          </w:p>
        </w:tc>
        <w:tc>
          <w:tcPr>
            <w:tcW w:type="dxa" w:w="3641"/>
            <w:tcW w:w="5670" w:type="dxa"/>
          </w:tcPr>
          <w:p>
            <w:r>
              <w:rPr>
                <w:sz w:val="18"/>
              </w:rPr>
              <w:t>Results: Spearman ρ, Kendall τ, Mann-Whitney U P values, Welch’s t-test P values, Cohen’s d reported for each agent. No confounder adjustment (observational market data).</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16b</w:t>
            </w:r>
          </w:p>
        </w:tc>
        <w:tc>
          <w:tcPr>
            <w:tcW w:type="dxa" w:w="3641"/>
            <w:tcW w:w="4536" w:type="dxa"/>
          </w:tcPr>
          <w:p>
            <w:r>
              <w:rPr>
                <w:sz w:val="18"/>
              </w:rPr>
              <w:t>Report category boundaries when continuous variables were categorized</w:t>
            </w:r>
          </w:p>
        </w:tc>
        <w:tc>
          <w:tcPr>
            <w:tcW w:type="dxa" w:w="3641"/>
            <w:tcW w:w="5670" w:type="dxa"/>
          </w:tcPr>
          <w:p>
            <w:r>
              <w:rPr>
                <w:sz w:val="18"/>
              </w:rPr>
              <w:t>Variables: Regulatory phases defined by specific dates (EC proposal April 2022, trilogue October 2023, adoption February 2024, ban January 2026)</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17</w:t>
            </w:r>
          </w:p>
        </w:tc>
        <w:tc>
          <w:tcPr>
            <w:tcW w:type="dxa" w:w="3641"/>
            <w:tcW w:w="4536" w:type="dxa"/>
          </w:tcPr>
          <w:p>
            <w:r>
              <w:rPr>
                <w:sz w:val="18"/>
              </w:rPr>
              <w:t>Report other analyses done—e.g., analyses of subgroups and interactions, and sensitivity analyses</w:t>
            </w:r>
          </w:p>
        </w:tc>
        <w:tc>
          <w:tcPr>
            <w:tcW w:type="dxa" w:w="3641"/>
            <w:tcW w:w="5670" w:type="dxa"/>
          </w:tcPr>
          <w:p>
            <w:r>
              <w:rPr>
                <w:sz w:val="18"/>
              </w:rPr>
              <w:t>Multi-period analysis: Kruskal-Wallis across 4 phases.</w:t>
              <w:br/>
              <w:t>Supplementary analysis: Asking price cross-sectional analysis (eTable 1).</w:t>
              <w:br/>
              <w:t>Sensitivity: Welch’s t-test, quarterly median trend</w:t>
            </w:r>
          </w:p>
        </w:tc>
        <w:tc>
          <w:tcPr>
            <w:tcW w:type="dxa" w:w="3641"/>
            <w:tcW w:w="850" w:type="dxa"/>
          </w:tcPr>
          <w:p>
            <w:pPr>
              <w:jc w:val="center"/>
            </w:pPr>
            <w:r>
              <w:rPr>
                <w:b/>
                <w:color w:val="008000"/>
                <w:sz w:val="18"/>
              </w:rPr>
              <w:t>Yes</w:t>
            </w:r>
          </w:p>
        </w:tc>
      </w:tr>
      <w:tr>
        <w:tc>
          <w:tcPr>
            <w:tcW w:type="dxa" w:w="14564"/>
            <w:gridSpan w:val="4"/>
            <w:shd w:fill="D6E4F0" w:val="clear"/>
            <w:tcW w:w="850" w:type="dxa"/>
            <w:tcW w:w="4536" w:type="dxa"/>
            <w:tcW w:w="5670" w:type="dxa"/>
            <w:tcW w:w="850" w:type="dxa"/>
          </w:tcPr>
          <w:p>
            <w:r>
              <w:rPr>
                <w:b/>
                <w:sz w:val="18"/>
              </w:rPr>
              <w:t>Discussion</w:t>
            </w:r>
          </w:p>
        </w:tc>
      </w:tr>
      <w:tr>
        <w:tc>
          <w:tcPr>
            <w:tcW w:type="dxa" w:w="3641"/>
            <w:tcW w:w="850" w:type="dxa"/>
          </w:tcPr>
          <w:p>
            <w:pPr>
              <w:jc w:val="center"/>
            </w:pPr>
            <w:r>
              <w:rPr>
                <w:b/>
                <w:sz w:val="18"/>
              </w:rPr>
              <w:t>18</w:t>
            </w:r>
          </w:p>
        </w:tc>
        <w:tc>
          <w:tcPr>
            <w:tcW w:type="dxa" w:w="3641"/>
            <w:tcW w:w="4536" w:type="dxa"/>
          </w:tcPr>
          <w:p>
            <w:r>
              <w:rPr>
                <w:sz w:val="18"/>
              </w:rPr>
              <w:t>Summarise key results with reference to study objectives</w:t>
            </w:r>
          </w:p>
        </w:tc>
        <w:tc>
          <w:tcPr>
            <w:tcW w:type="dxa" w:w="3641"/>
            <w:tcW w:w="5670" w:type="dxa"/>
          </w:tcPr>
          <w:p>
            <w:r>
              <w:rPr>
                <w:sz w:val="18"/>
              </w:rPr>
              <w:t>Discussion, Principal findings: Agent-specific price decline for desflurane confirmed; sevoflurane and isoflurane stable as hypothesised</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19</w:t>
            </w:r>
          </w:p>
        </w:tc>
        <w:tc>
          <w:tcPr>
            <w:tcW w:type="dxa" w:w="3641"/>
            <w:tcW w:w="4536" w:type="dxa"/>
          </w:tcPr>
          <w:p>
            <w:r>
              <w:rPr>
                <w:sz w:val="18"/>
              </w:rPr>
              <w:t>Discuss limitations of the study, taking into account sources of potential bias or imprecision. Discuss both direction and magnitude of any potential bias</w:t>
            </w:r>
          </w:p>
        </w:tc>
        <w:tc>
          <w:tcPr>
            <w:tcW w:type="dxa" w:w="3641"/>
            <w:tcW w:w="5670" w:type="dxa"/>
          </w:tcPr>
          <w:p>
            <w:r>
              <w:rPr>
                <w:sz w:val="18"/>
              </w:rPr>
              <w:t>Discussion, Strengths and limitations: Platform bias (eBay only), inability to control for equipment condition/age, small post-ban sample, global marketplace (EU/non-EU), limited pre-proposal baseline</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20</w:t>
            </w:r>
          </w:p>
        </w:tc>
        <w:tc>
          <w:tcPr>
            <w:tcW w:type="dxa" w:w="3641"/>
            <w:tcW w:w="4536" w:type="dxa"/>
          </w:tcPr>
          <w:p>
            <w:r>
              <w:rPr>
                <w:sz w:val="18"/>
              </w:rPr>
              <w:t>Give a cautious overall interpretation of results considering objectives, limitations, multiplicity of analyses, results from similar studies, and other relevant evidence</w:t>
            </w:r>
          </w:p>
        </w:tc>
        <w:tc>
          <w:tcPr>
            <w:tcW w:type="dxa" w:w="3641"/>
            <w:tcW w:w="5670" w:type="dxa"/>
          </w:tcPr>
          <w:p>
            <w:r>
              <w:rPr>
                <w:sz w:val="18"/>
              </w:rPr>
              <w:t>Discussion, Principal findings and Comparison with other studies: Contextualised with regulatory obsolescence literature, vehicle emission studies, BFMV benchmarks. Cautious language throughout.</w:t>
            </w:r>
          </w:p>
        </w:tc>
        <w:tc>
          <w:tcPr>
            <w:tcW w:type="dxa" w:w="3641"/>
            <w:tcW w:w="850" w:type="dxa"/>
          </w:tcPr>
          <w:p>
            <w:pPr>
              <w:jc w:val="center"/>
            </w:pPr>
            <w:r>
              <w:rPr>
                <w:b/>
                <w:color w:val="008000"/>
                <w:sz w:val="18"/>
              </w:rPr>
              <w:t>Yes</w:t>
            </w:r>
          </w:p>
        </w:tc>
      </w:tr>
      <w:tr>
        <w:tc>
          <w:tcPr>
            <w:tcW w:type="dxa" w:w="3641"/>
            <w:tcW w:w="850" w:type="dxa"/>
          </w:tcPr>
          <w:p>
            <w:pPr>
              <w:jc w:val="center"/>
            </w:pPr>
            <w:r>
              <w:rPr>
                <w:b/>
                <w:sz w:val="18"/>
              </w:rPr>
              <w:t>21</w:t>
            </w:r>
          </w:p>
        </w:tc>
        <w:tc>
          <w:tcPr>
            <w:tcW w:type="dxa" w:w="3641"/>
            <w:tcW w:w="4536" w:type="dxa"/>
          </w:tcPr>
          <w:p>
            <w:r>
              <w:rPr>
                <w:sz w:val="18"/>
              </w:rPr>
              <w:t>Discuss the generalisability (external validity) of the study results</w:t>
            </w:r>
          </w:p>
        </w:tc>
        <w:tc>
          <w:tcPr>
            <w:tcW w:type="dxa" w:w="3641"/>
            <w:tcW w:w="5670" w:type="dxa"/>
          </w:tcPr>
          <w:p>
            <w:r>
              <w:rPr>
                <w:sz w:val="18"/>
              </w:rPr>
              <w:t>Discussion, Implications: "For healthcare facilities in jurisdictions considering similar regulations..."; acknowledged eBay as one segment of secondary market</w:t>
            </w:r>
          </w:p>
        </w:tc>
        <w:tc>
          <w:tcPr>
            <w:tcW w:type="dxa" w:w="3641"/>
            <w:tcW w:w="850" w:type="dxa"/>
          </w:tcPr>
          <w:p>
            <w:pPr>
              <w:jc w:val="center"/>
            </w:pPr>
            <w:r>
              <w:rPr>
                <w:b/>
                <w:color w:val="008000"/>
                <w:sz w:val="18"/>
              </w:rPr>
              <w:t>Yes</w:t>
            </w:r>
          </w:p>
        </w:tc>
      </w:tr>
      <w:tr>
        <w:tc>
          <w:tcPr>
            <w:tcW w:type="dxa" w:w="14564"/>
            <w:gridSpan w:val="4"/>
            <w:shd w:fill="D6E4F0" w:val="clear"/>
            <w:tcW w:w="850" w:type="dxa"/>
            <w:tcW w:w="4536" w:type="dxa"/>
            <w:tcW w:w="5670" w:type="dxa"/>
            <w:tcW w:w="850" w:type="dxa"/>
          </w:tcPr>
          <w:p>
            <w:r>
              <w:rPr>
                <w:b/>
                <w:sz w:val="18"/>
              </w:rPr>
              <w:t>Other information</w:t>
            </w:r>
          </w:p>
        </w:tc>
      </w:tr>
      <w:tr>
        <w:tc>
          <w:tcPr>
            <w:tcW w:type="dxa" w:w="3641"/>
            <w:tcW w:w="850" w:type="dxa"/>
          </w:tcPr>
          <w:p>
            <w:pPr>
              <w:jc w:val="center"/>
            </w:pPr>
            <w:r>
              <w:rPr>
                <w:b/>
                <w:sz w:val="18"/>
              </w:rPr>
              <w:t>22</w:t>
            </w:r>
          </w:p>
        </w:tc>
        <w:tc>
          <w:tcPr>
            <w:tcW w:type="dxa" w:w="3641"/>
            <w:tcW w:w="4536" w:type="dxa"/>
          </w:tcPr>
          <w:p>
            <w:r>
              <w:rPr>
                <w:sz w:val="18"/>
              </w:rPr>
              <w:t>Give the source of funding and the role of the funders for the present study and, if applicable, for the original study on which the present article is based</w:t>
            </w:r>
          </w:p>
        </w:tc>
        <w:tc>
          <w:tcPr>
            <w:tcW w:type="dxa" w:w="3641"/>
            <w:tcW w:w="5670" w:type="dxa"/>
          </w:tcPr>
          <w:p>
            <w:r>
              <w:rPr>
                <w:sz w:val="18"/>
              </w:rPr>
              <w:t>Transparency declaration: "No external funding was received for this study"</w:t>
            </w:r>
          </w:p>
        </w:tc>
        <w:tc>
          <w:tcPr>
            <w:tcW w:type="dxa" w:w="3641"/>
            <w:tcW w:w="850" w:type="dxa"/>
          </w:tcPr>
          <w:p>
            <w:pPr>
              <w:jc w:val="center"/>
            </w:pPr>
            <w:r>
              <w:rPr>
                <w:b/>
                <w:color w:val="008000"/>
                <w:sz w:val="18"/>
              </w:rPr>
              <w:t>Yes</w:t>
            </w:r>
          </w:p>
        </w:tc>
      </w:tr>
    </w:tbl>
    <w:p/>
    <w:p>
      <w:r>
        <w:rPr>
          <w:b/>
          <w:sz w:val="18"/>
        </w:rPr>
        <w:t xml:space="preserve">Note: </w:t>
      </w:r>
      <w:r>
        <w:rPr>
          <w:i/>
          <w:sz w:val="18"/>
        </w:rPr>
        <w:t>An Explanation and Elaboration article discusses each checklist item and gives methodological background and published examples of transparent reporting. The STROBE checklist is best used in conjunction with this article (freely available at www.strobe-statement.org).</w:t>
      </w:r>
    </w:p>
    <w:sectPr w:rsidR="00FC693F" w:rsidRPr="0006063C" w:rsidSect="00034616">
      <w:pgSz w:w="16834" w:h="119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