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STROBE声明—横断研究の報告に含めるべき項目のチェックリスト</w:t>
      </w:r>
    </w:p>
    <w:p>
      <w:pPr>
        <w:spacing w:after="240"/>
        <w:jc w:val="center"/>
      </w:pPr>
      <w:r>
        <w:rPr>
          <w:i/>
          <w:sz w:val="20"/>
        </w:rPr>
        <w:t>論文: 欧州連合のデスフルラン規制が麻酔気化器の中古市場価格に与える影響：eBay売買実績の横断的時系列分析</w:t>
      </w:r>
    </w:p>
    <w:tbl>
      <w:tblPr>
        <w:tblStyle w:val="TableGrid"/>
        <w:tblW w:type="auto" w:w="0"/>
        <w:jc w:val="center"/>
        <w:tblLook w:firstColumn="1" w:firstRow="1" w:lastColumn="0" w:lastRow="0" w:noHBand="0" w:noVBand="1" w:val="04A0"/>
      </w:tblPr>
      <w:tblGrid>
        <w:gridCol w:w="3641"/>
        <w:gridCol w:w="3641"/>
        <w:gridCol w:w="3641"/>
        <w:gridCol w:w="3641"/>
      </w:tblGrid>
      <w:tr>
        <w:tc>
          <w:tcPr>
            <w:tcW w:type="dxa" w:w="3641"/>
            <w:shd w:fill="2E75B6" w:val="clear"/>
            <w:tcW w:w="850" w:type="dxa"/>
          </w:tcPr>
          <w:p>
            <w:pPr>
              <w:jc w:val="center"/>
            </w:pPr>
            <w:r>
              <w:rPr>
                <w:b/>
                <w:color w:val="FFFFFF"/>
                <w:sz w:val="18"/>
              </w:rPr>
              <w:t>項目番号</w:t>
            </w:r>
          </w:p>
        </w:tc>
        <w:tc>
          <w:tcPr>
            <w:tcW w:type="dxa" w:w="3641"/>
            <w:shd w:fill="2E75B6" w:val="clear"/>
            <w:tcW w:w="4536" w:type="dxa"/>
          </w:tcPr>
          <w:p>
            <w:pPr>
              <w:jc w:val="center"/>
            </w:pPr>
            <w:r>
              <w:rPr>
                <w:b/>
                <w:color w:val="FFFFFF"/>
                <w:sz w:val="18"/>
              </w:rPr>
              <w:t>推奨事項</w:t>
            </w:r>
          </w:p>
        </w:tc>
        <w:tc>
          <w:tcPr>
            <w:tcW w:type="dxa" w:w="3641"/>
            <w:shd w:fill="2E75B6" w:val="clear"/>
            <w:tcW w:w="5670" w:type="dxa"/>
          </w:tcPr>
          <w:p>
            <w:pPr>
              <w:jc w:val="center"/>
            </w:pPr>
            <w:r>
              <w:rPr>
                <w:b/>
                <w:color w:val="FFFFFF"/>
                <w:sz w:val="18"/>
              </w:rPr>
              <w:t>論文中の該当箇所</w:t>
            </w:r>
          </w:p>
        </w:tc>
        <w:tc>
          <w:tcPr>
            <w:tcW w:type="dxa" w:w="3641"/>
            <w:shd w:fill="2E75B6" w:val="clear"/>
            <w:tcW w:w="850" w:type="dxa"/>
          </w:tcPr>
          <w:p>
            <w:pPr>
              <w:jc w:val="center"/>
            </w:pPr>
            <w:r>
              <w:rPr>
                <w:b/>
                <w:color w:val="FFFFFF"/>
                <w:sz w:val="18"/>
              </w:rPr>
              <w:t>確認</w:t>
            </w:r>
          </w:p>
        </w:tc>
      </w:tr>
      <w:tr>
        <w:tc>
          <w:tcPr>
            <w:tcW w:type="dxa" w:w="14564"/>
            <w:gridSpan w:val="4"/>
            <w:shd w:fill="D6E4F0" w:val="clear"/>
            <w:tcW w:w="850" w:type="dxa"/>
            <w:tcW w:w="4536" w:type="dxa"/>
            <w:tcW w:w="5670" w:type="dxa"/>
            <w:tcW w:w="850" w:type="dxa"/>
          </w:tcPr>
          <w:p>
            <w:r>
              <w:rPr>
                <w:b/>
                <w:sz w:val="18"/>
              </w:rPr>
              <w:t>タイトルと抽象</w:t>
            </w:r>
          </w:p>
        </w:tc>
      </w:tr>
      <w:tr>
        <w:tc>
          <w:tcPr>
            <w:tcW w:type="dxa" w:w="3641"/>
            <w:tcW w:w="850" w:type="dxa"/>
          </w:tcPr>
          <w:p>
            <w:pPr>
              <w:jc w:val="center"/>
            </w:pPr>
            <w:r>
              <w:rPr>
                <w:b/>
                <w:sz w:val="18"/>
              </w:rPr>
              <w:t>1a</w:t>
            </w:r>
          </w:p>
        </w:tc>
        <w:tc>
          <w:tcPr>
            <w:tcW w:type="dxa" w:w="3641"/>
            <w:tcW w:w="4536" w:type="dxa"/>
          </w:tcPr>
          <w:p>
            <w:r>
              <w:rPr>
                <w:sz w:val="18"/>
              </w:rPr>
              <w:t>タイトルまたは抽象において、一般的に用いられる用語で研究デザインを示す</w:t>
            </w:r>
          </w:p>
        </w:tc>
        <w:tc>
          <w:tcPr>
            <w:tcW w:type="dxa" w:w="3641"/>
            <w:tcW w:w="5670" w:type="dxa"/>
          </w:tcPr>
          <w:p>
            <w:r>
              <w:rPr>
                <w:sz w:val="18"/>
              </w:rPr>
              <w:t>タイトル: 「…横断的時系列分析」;</w:t>
              <w:br/>
              <w:t>要旨: 「売買実績の横断的時系列分析」</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1b</w:t>
            </w:r>
          </w:p>
        </w:tc>
        <w:tc>
          <w:tcPr>
            <w:tcW w:type="dxa" w:w="3641"/>
            <w:tcW w:w="4536" w:type="dxa"/>
          </w:tcPr>
          <w:p>
            <w:r>
              <w:rPr>
                <w:sz w:val="18"/>
              </w:rPr>
              <w:t>抽象において、何を行い何を見出したかの情報的でバランスのとれた要約を示す</w:t>
            </w:r>
          </w:p>
        </w:tc>
        <w:tc>
          <w:tcPr>
            <w:tcW w:type="dxa" w:w="3641"/>
            <w:tcW w:w="5670" w:type="dxa"/>
          </w:tcPr>
          <w:p>
            <w:r>
              <w:rPr>
                <w:sz w:val="18"/>
              </w:rPr>
              <w:t>要旨: 目的、方法、主要な知見、結論を含む非構造化単一段落の要旨</w:t>
            </w:r>
          </w:p>
        </w:tc>
        <w:tc>
          <w:tcPr>
            <w:tcW w:type="dxa" w:w="3641"/>
            <w:tcW w:w="850" w:type="dxa"/>
          </w:tcPr>
          <w:p>
            <w:pPr>
              <w:jc w:val="center"/>
            </w:pPr>
            <w:r>
              <w:rPr>
                <w:b/>
                <w:color w:val="008000"/>
                <w:sz w:val="18"/>
              </w:rPr>
              <w:t>済</w:t>
            </w:r>
          </w:p>
        </w:tc>
      </w:tr>
      <w:tr>
        <w:tc>
          <w:tcPr>
            <w:tcW w:type="dxa" w:w="14564"/>
            <w:gridSpan w:val="4"/>
            <w:shd w:fill="D6E4F0" w:val="clear"/>
            <w:tcW w:w="850" w:type="dxa"/>
            <w:tcW w:w="4536" w:type="dxa"/>
            <w:tcW w:w="5670" w:type="dxa"/>
            <w:tcW w:w="850" w:type="dxa"/>
          </w:tcPr>
          <w:p>
            <w:r>
              <w:rPr>
                <w:b/>
                <w:sz w:val="18"/>
              </w:rPr>
              <w:t>緒言</w:t>
            </w:r>
          </w:p>
        </w:tc>
      </w:tr>
      <w:tr>
        <w:tc>
          <w:tcPr>
            <w:tcW w:type="dxa" w:w="3641"/>
            <w:tcW w:w="850" w:type="dxa"/>
          </w:tcPr>
          <w:p>
            <w:pPr>
              <w:jc w:val="center"/>
            </w:pPr>
            <w:r>
              <w:rPr>
                <w:b/>
                <w:sz w:val="18"/>
              </w:rPr>
              <w:t>2</w:t>
            </w:r>
          </w:p>
        </w:tc>
        <w:tc>
          <w:tcPr>
            <w:tcW w:type="dxa" w:w="3641"/>
            <w:tcW w:w="4536" w:type="dxa"/>
          </w:tcPr>
          <w:p>
            <w:r>
              <w:rPr>
                <w:sz w:val="18"/>
              </w:rPr>
              <w:t>報告される研究の科学的背景と根拠を説明する</w:t>
            </w:r>
          </w:p>
        </w:tc>
        <w:tc>
          <w:tcPr>
            <w:tcW w:type="dxa" w:w="3641"/>
            <w:tcW w:w="5670" w:type="dxa"/>
          </w:tcPr>
          <w:p>
            <w:r>
              <w:rPr>
                <w:sz w:val="18"/>
              </w:rPr>
              <w:t>緒言, 第1–4段落: 吸入麻酔薬のGWP、EU規制タイムライン、気化器の経済的意義、知識のギャップ</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3</w:t>
            </w:r>
          </w:p>
        </w:tc>
        <w:tc>
          <w:tcPr>
            <w:tcW w:type="dxa" w:w="3641"/>
            <w:tcW w:w="4536" w:type="dxa"/>
          </w:tcPr>
          <w:p>
            <w:r>
              <w:rPr>
                <w:sz w:val="18"/>
              </w:rPr>
              <w:t>事前に設定した仮説を含め、具体的な目的を述べる</w:t>
            </w:r>
          </w:p>
        </w:tc>
        <w:tc>
          <w:tcPr>
            <w:tcW w:type="dxa" w:w="3641"/>
            <w:tcW w:w="5670" w:type="dxa"/>
          </w:tcPr>
          <w:p>
            <w:r>
              <w:rPr>
                <w:sz w:val="18"/>
              </w:rPr>
              <w:t>緒言, 第4段落: 「デスフルラン気化器価格の段階的下落と、セボフルラン・イソフルラン価格の安定を仮説として設定」</w:t>
            </w:r>
          </w:p>
        </w:tc>
        <w:tc>
          <w:tcPr>
            <w:tcW w:type="dxa" w:w="3641"/>
            <w:tcW w:w="850" w:type="dxa"/>
          </w:tcPr>
          <w:p>
            <w:pPr>
              <w:jc w:val="center"/>
            </w:pPr>
            <w:r>
              <w:rPr>
                <w:b/>
                <w:color w:val="008000"/>
                <w:sz w:val="18"/>
              </w:rPr>
              <w:t>済</w:t>
            </w:r>
          </w:p>
        </w:tc>
      </w:tr>
      <w:tr>
        <w:tc>
          <w:tcPr>
            <w:tcW w:type="dxa" w:w="14564"/>
            <w:gridSpan w:val="4"/>
            <w:shd w:fill="D6E4F0" w:val="clear"/>
            <w:tcW w:w="850" w:type="dxa"/>
            <w:tcW w:w="4536" w:type="dxa"/>
            <w:tcW w:w="5670" w:type="dxa"/>
            <w:tcW w:w="850" w:type="dxa"/>
          </w:tcPr>
          <w:p>
            <w:r>
              <w:rPr>
                <w:b/>
                <w:sz w:val="18"/>
              </w:rPr>
              <w:t>方法</w:t>
            </w:r>
          </w:p>
        </w:tc>
      </w:tr>
      <w:tr>
        <w:tc>
          <w:tcPr>
            <w:tcW w:type="dxa" w:w="3641"/>
            <w:tcW w:w="850" w:type="dxa"/>
          </w:tcPr>
          <w:p>
            <w:pPr>
              <w:jc w:val="center"/>
            </w:pPr>
            <w:r>
              <w:rPr>
                <w:b/>
                <w:sz w:val="18"/>
              </w:rPr>
              <w:t>4</w:t>
            </w:r>
          </w:p>
        </w:tc>
        <w:tc>
          <w:tcPr>
            <w:tcW w:type="dxa" w:w="3641"/>
            <w:tcW w:w="4536" w:type="dxa"/>
          </w:tcPr>
          <w:p>
            <w:r>
              <w:rPr>
                <w:sz w:val="18"/>
              </w:rPr>
              <w:t>研究デザインの主要素を論文の早い段階で示す</w:t>
            </w:r>
          </w:p>
        </w:tc>
        <w:tc>
          <w:tcPr>
            <w:tcW w:type="dxa" w:w="3641"/>
            <w:tcW w:w="5670" w:type="dxa"/>
          </w:tcPr>
          <w:p>
            <w:r>
              <w:rPr>
                <w:sz w:val="18"/>
              </w:rPr>
              <w:t>方法, 第1段落: 「STROBEガイドラインに準拠」;</w:t>
              <w:br/>
              <w:t>研究デザインとデータソース: 「横断的時系列分析を実施」</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5</w:t>
            </w:r>
          </w:p>
        </w:tc>
        <w:tc>
          <w:tcPr>
            <w:tcW w:type="dxa" w:w="3641"/>
            <w:tcW w:w="4536" w:type="dxa"/>
          </w:tcPr>
          <w:p>
            <w:r>
              <w:rPr>
                <w:sz w:val="18"/>
              </w:rPr>
              <w:t>データ収集期間を含む、設定、場所、関連する日付を記述する</w:t>
            </w:r>
          </w:p>
        </w:tc>
        <w:tc>
          <w:tcPr>
            <w:tcW w:type="dxa" w:w="3641"/>
            <w:tcW w:w="5670" w:type="dxa"/>
          </w:tcPr>
          <w:p>
            <w:r>
              <w:rPr>
                <w:sz w:val="18"/>
              </w:rPr>
              <w:t>研究デザインとデータソース: 「eBay…データは2026年3月に収集、対象期間は2023年3月28日～2026年3月24日」</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6</w:t>
            </w:r>
          </w:p>
        </w:tc>
        <w:tc>
          <w:tcPr>
            <w:tcW w:type="dxa" w:w="3641"/>
            <w:tcW w:w="4536" w:type="dxa"/>
          </w:tcPr>
          <w:p>
            <w:r>
              <w:rPr>
                <w:sz w:val="18"/>
              </w:rPr>
              <w:t>横断研究—適格基準、および参加者の選択のソースと方法を示す</w:t>
            </w:r>
          </w:p>
        </w:tc>
        <w:tc>
          <w:tcPr>
            <w:tcW w:type="dxa" w:w="3641"/>
            <w:tcW w:w="5670" w:type="dxa"/>
          </w:tcPr>
          <w:p>
            <w:r>
              <w:rPr>
                <w:sz w:val="18"/>
              </w:rPr>
              <w:t>適格基準: 組入基準（売買完了、単体気化器、有効な価格/日付）および除外基準（非気化器品、獣医用、ロット出品、異常データ）を詳述</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7</w:t>
            </w:r>
          </w:p>
        </w:tc>
        <w:tc>
          <w:tcPr>
            <w:tcW w:type="dxa" w:w="3641"/>
            <w:tcW w:w="4536" w:type="dxa"/>
          </w:tcPr>
          <w:p>
            <w:r>
              <w:rPr>
                <w:sz w:val="18"/>
              </w:rPr>
              <w:t>すべてのアウトカム、曝露、交絡因子、効果修飾因子を明確に定義する</w:t>
            </w:r>
          </w:p>
        </w:tc>
        <w:tc>
          <w:tcPr>
            <w:tcW w:type="dxa" w:w="3641"/>
            <w:tcW w:w="5670" w:type="dxa"/>
          </w:tcPr>
          <w:p>
            <w:r>
              <w:rPr>
                <w:sz w:val="18"/>
              </w:rPr>
              <w:t>変数: 主要アウトカム（売却価格 USD）、曝露（規制段階別分類）、共変量（アイテム名、売却日、数量）。多期間分類を記述</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8</w:t>
            </w:r>
          </w:p>
        </w:tc>
        <w:tc>
          <w:tcPr>
            <w:tcW w:type="dxa" w:w="3641"/>
            <w:tcW w:w="4536" w:type="dxa"/>
          </w:tcPr>
          <w:p>
            <w:r>
              <w:rPr>
                <w:sz w:val="18"/>
              </w:rPr>
              <w:t>各変数についてデータソースと評価方法の詳細を示す</w:t>
            </w:r>
          </w:p>
        </w:tc>
        <w:tc>
          <w:tcPr>
            <w:tcW w:type="dxa" w:w="3641"/>
            <w:tcW w:w="5670" w:type="dxa"/>
          </w:tcPr>
          <w:p>
            <w:r>
              <w:rPr>
                <w:sz w:val="18"/>
              </w:rPr>
              <w:t>研究デザインとデータソース: 「TerapeakはeBay公式の製品リサーチツール…アイテム名、売却価格、売却日、数量を含む」</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9</w:t>
            </w:r>
          </w:p>
        </w:tc>
        <w:tc>
          <w:tcPr>
            <w:tcW w:type="dxa" w:w="3641"/>
            <w:tcW w:w="4536" w:type="dxa"/>
          </w:tcPr>
          <w:p>
            <w:r>
              <w:rPr>
                <w:sz w:val="18"/>
              </w:rPr>
              <w:t>バイアスの潜在的なソースに対処する取り組みを記述する</w:t>
            </w:r>
          </w:p>
        </w:tc>
        <w:tc>
          <w:tcPr>
            <w:tcW w:type="dxa" w:w="3641"/>
            <w:tcW w:w="5670" w:type="dxa"/>
          </w:tcPr>
          <w:p>
            <w:r>
              <w:rPr>
                <w:sz w:val="18"/>
              </w:rPr>
              <w:t>長所と限界: クロスリスティング重複回避のため単一マーケットプレイスに限定；機器の年数/状態の制御不能、グローバル市場の限界、プラットフォーム選択バイアスを認識</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10</w:t>
            </w:r>
          </w:p>
        </w:tc>
        <w:tc>
          <w:tcPr>
            <w:tcW w:type="dxa" w:w="3641"/>
            <w:tcW w:w="4536" w:type="dxa"/>
          </w:tcPr>
          <w:p>
            <w:r>
              <w:rPr>
                <w:sz w:val="18"/>
              </w:rPr>
              <w:t>研究のサンプルサイズの決定方法を説明する</w:t>
            </w:r>
          </w:p>
        </w:tc>
        <w:tc>
          <w:tcPr>
            <w:tcW w:type="dxa" w:w="3641"/>
            <w:tcW w:w="5670" w:type="dxa"/>
          </w:tcPr>
          <w:p>
            <w:r>
              <w:rPr>
                <w:sz w:val="18"/>
              </w:rPr>
              <w:t>統計分析: 「事前のサンプルサイズ計算は実施せず、Terapeakデータウィンドウ内の全取引を収集」</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11</w:t>
            </w:r>
          </w:p>
        </w:tc>
        <w:tc>
          <w:tcPr>
            <w:tcW w:type="dxa" w:w="3641"/>
            <w:tcW w:w="4536" w:type="dxa"/>
          </w:tcPr>
          <w:p>
            <w:r>
              <w:rPr>
                <w:sz w:val="18"/>
              </w:rPr>
              <w:t>定量変数の分析での取り扱い方を説明する</w:t>
            </w:r>
          </w:p>
        </w:tc>
        <w:tc>
          <w:tcPr>
            <w:tcW w:type="dxa" w:w="3641"/>
            <w:tcW w:w="5670" w:type="dxa"/>
          </w:tcPr>
          <w:p>
            <w:r>
              <w:rPr>
                <w:sz w:val="18"/>
              </w:rPr>
              <w:t>変数: 規制段階分類（4段階、マイルストーン基準）を説明。</w:t>
              <w:br/>
              <w:t>統計分析: LOWESS平滑化、四半期集計を記述</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12a</w:t>
            </w:r>
          </w:p>
        </w:tc>
        <w:tc>
          <w:tcPr>
            <w:tcW w:type="dxa" w:w="3641"/>
            <w:tcW w:w="4536" w:type="dxa"/>
          </w:tcPr>
          <w:p>
            <w:r>
              <w:rPr>
                <w:sz w:val="18"/>
              </w:rPr>
              <w:t>交絡因子の制御に用いた方法を含む、すべての統計方法を記述する</w:t>
            </w:r>
          </w:p>
        </w:tc>
        <w:tc>
          <w:tcPr>
            <w:tcW w:type="dxa" w:w="3641"/>
            <w:tcW w:w="5670" w:type="dxa"/>
          </w:tcPr>
          <w:p>
            <w:r>
              <w:rPr>
                <w:sz w:val="18"/>
              </w:rPr>
              <w:t>統計分析: Mann-Whitney U、Welch t検定、Cohen d、Spearman順位相関、Kendall τ、Kruskal-Wallis、LOWESS。ソフト: Python 3.12, pandas 2.2, scipy 1.14, statsmodels 0.14</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12b</w:t>
            </w:r>
          </w:p>
        </w:tc>
        <w:tc>
          <w:tcPr>
            <w:tcW w:type="dxa" w:w="3641"/>
            <w:tcW w:w="4536" w:type="dxa"/>
          </w:tcPr>
          <w:p>
            <w:r>
              <w:rPr>
                <w:sz w:val="18"/>
              </w:rPr>
              <w:t>サブグループと交互作用の検討方法を記述する</w:t>
            </w:r>
          </w:p>
        </w:tc>
        <w:tc>
          <w:tcPr>
            <w:tcW w:type="dxa" w:w="3641"/>
            <w:tcW w:w="5670" w:type="dxa"/>
          </w:tcPr>
          <w:p>
            <w:r>
              <w:rPr>
                <w:sz w:val="18"/>
              </w:rPr>
              <w:t>統計分析: 薬剤別分析（デスフルラン、セボフルラン、イソフルランを独立に分析）；規制段階別の多期間分析</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12c</w:t>
            </w:r>
          </w:p>
        </w:tc>
        <w:tc>
          <w:tcPr>
            <w:tcW w:type="dxa" w:w="3641"/>
            <w:tcW w:w="4536" w:type="dxa"/>
          </w:tcPr>
          <w:p>
            <w:r>
              <w:rPr>
                <w:sz w:val="18"/>
              </w:rPr>
              <w:t>欠損データの対処方法を説明する</w:t>
            </w:r>
          </w:p>
        </w:tc>
        <w:tc>
          <w:tcPr>
            <w:tcW w:type="dxa" w:w="3641"/>
            <w:tcW w:w="5670" w:type="dxa"/>
          </w:tcPr>
          <w:p>
            <w:r>
              <w:rPr>
                <w:sz w:val="18"/>
              </w:rPr>
              <w:t>適格基準: 「価格データの欠損または異常値のある出品を除外」</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12d</w:t>
            </w:r>
          </w:p>
        </w:tc>
        <w:tc>
          <w:tcPr>
            <w:tcW w:type="dxa" w:w="3641"/>
            <w:tcW w:w="4536" w:type="dxa"/>
          </w:tcPr>
          <w:p>
            <w:r>
              <w:rPr>
                <w:sz w:val="18"/>
              </w:rPr>
              <w:t>横断研究—該当する場合、サンプリング戦略を考慮した分析方法を記述</w:t>
            </w:r>
          </w:p>
        </w:tc>
        <w:tc>
          <w:tcPr>
            <w:tcW w:type="dxa" w:w="3641"/>
            <w:tcW w:w="5670" w:type="dxa"/>
          </w:tcPr>
          <w:p>
            <w:r>
              <w:rPr>
                <w:sz w:val="18"/>
              </w:rPr>
              <w:t>N/A — 全取引の完全枚挙（サンプリングなし）</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12e</w:t>
            </w:r>
          </w:p>
        </w:tc>
        <w:tc>
          <w:tcPr>
            <w:tcW w:type="dxa" w:w="3641"/>
            <w:tcW w:w="4536" w:type="dxa"/>
          </w:tcPr>
          <w:p>
            <w:r>
              <w:rPr>
                <w:sz w:val="18"/>
              </w:rPr>
              <w:t>感度分析を記述する</w:t>
            </w:r>
          </w:p>
        </w:tc>
        <w:tc>
          <w:tcPr>
            <w:tcW w:type="dxa" w:w="3641"/>
            <w:tcW w:w="5670" w:type="dxa"/>
          </w:tcPr>
          <w:p>
            <w:r>
              <w:rPr>
                <w:sz w:val="18"/>
              </w:rPr>
              <w:t>統計分析: Mann-Whitney Uに加えWelch t検定を感度分析として実施；四半期中央値Spearmanを集計レベルの感度検証；出品価格の補足分析を頑健性検証として実施</w:t>
            </w:r>
          </w:p>
        </w:tc>
        <w:tc>
          <w:tcPr>
            <w:tcW w:type="dxa" w:w="3641"/>
            <w:tcW w:w="850" w:type="dxa"/>
          </w:tcPr>
          <w:p>
            <w:pPr>
              <w:jc w:val="center"/>
            </w:pPr>
            <w:r>
              <w:rPr>
                <w:b/>
                <w:color w:val="008000"/>
                <w:sz w:val="18"/>
              </w:rPr>
              <w:t>済</w:t>
            </w:r>
          </w:p>
        </w:tc>
      </w:tr>
      <w:tr>
        <w:tc>
          <w:tcPr>
            <w:tcW w:type="dxa" w:w="14564"/>
            <w:gridSpan w:val="4"/>
            <w:shd w:fill="D6E4F0" w:val="clear"/>
            <w:tcW w:w="850" w:type="dxa"/>
            <w:tcW w:w="4536" w:type="dxa"/>
            <w:tcW w:w="5670" w:type="dxa"/>
            <w:tcW w:w="850" w:type="dxa"/>
          </w:tcPr>
          <w:p>
            <w:r>
              <w:rPr>
                <w:b/>
                <w:sz w:val="18"/>
              </w:rPr>
              <w:t>結果</w:t>
            </w:r>
          </w:p>
        </w:tc>
      </w:tr>
      <w:tr>
        <w:tc>
          <w:tcPr>
            <w:tcW w:type="dxa" w:w="3641"/>
            <w:tcW w:w="850" w:type="dxa"/>
          </w:tcPr>
          <w:p>
            <w:pPr>
              <w:jc w:val="center"/>
            </w:pPr>
            <w:r>
              <w:rPr>
                <w:b/>
                <w:sz w:val="18"/>
              </w:rPr>
              <w:t>13a</w:t>
            </w:r>
          </w:p>
        </w:tc>
        <w:tc>
          <w:tcPr>
            <w:tcW w:type="dxa" w:w="3641"/>
            <w:tcW w:w="4536" w:type="dxa"/>
          </w:tcPr>
          <w:p>
            <w:r>
              <w:rPr>
                <w:sz w:val="18"/>
              </w:rPr>
              <w:t>研究の各段階での対象者数を報告する</w:t>
            </w:r>
          </w:p>
        </w:tc>
        <w:tc>
          <w:tcPr>
            <w:tcW w:type="dxa" w:w="3641"/>
            <w:tcW w:w="5670" w:type="dxa"/>
          </w:tcPr>
          <w:p>
            <w:r>
              <w:rPr>
                <w:sz w:val="18"/>
              </w:rPr>
              <w:t>結果, 研究対象: 「除外基準適用後、合計1,033件のeBay売買実績: デスフルラン[n]件、セボフルラン[n]件、イソフルラン[n]件」</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13b</w:t>
            </w:r>
          </w:p>
        </w:tc>
        <w:tc>
          <w:tcPr>
            <w:tcW w:type="dxa" w:w="3641"/>
            <w:tcW w:w="4536" w:type="dxa"/>
          </w:tcPr>
          <w:p>
            <w:r>
              <w:rPr>
                <w:sz w:val="18"/>
              </w:rPr>
              <w:t>各段階での非参加の理由を示す</w:t>
            </w:r>
          </w:p>
        </w:tc>
        <w:tc>
          <w:tcPr>
            <w:tcW w:type="dxa" w:w="3641"/>
            <w:tcW w:w="5670" w:type="dxa"/>
          </w:tcPr>
          <w:p>
            <w:r>
              <w:rPr>
                <w:sz w:val="18"/>
              </w:rPr>
              <w:t>適格基準: 除外理由を明示（非気化器品、獣医用システム、ロット出品、異常データ）</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14</w:t>
            </w:r>
          </w:p>
        </w:tc>
        <w:tc>
          <w:tcPr>
            <w:tcW w:type="dxa" w:w="3641"/>
            <w:tcW w:w="4536" w:type="dxa"/>
          </w:tcPr>
          <w:p>
            <w:r>
              <w:rPr>
                <w:sz w:val="18"/>
              </w:rPr>
              <w:t>研究参加者の特徴、曝露情報、交絡因子に関する情報を示す</w:t>
            </w:r>
          </w:p>
        </w:tc>
        <w:tc>
          <w:tcPr>
            <w:tcW w:type="dxa" w:w="3641"/>
            <w:tcW w:w="5670" w:type="dxa"/>
          </w:tcPr>
          <w:p>
            <w:r>
              <w:rPr>
                <w:sz w:val="18"/>
              </w:rPr>
              <w:t>Table 1: 薬剤型・規制期間別のn、平均(SD)、中央値(IQR)、範囲。</w:t>
              <w:br/>
              <w:t>結果: 気化器モデルを記述（Tec 6, D-Vapor, Vapor 2000等）</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15</w:t>
            </w:r>
          </w:p>
        </w:tc>
        <w:tc>
          <w:tcPr>
            <w:tcW w:type="dxa" w:w="3641"/>
            <w:tcW w:w="4536" w:type="dxa"/>
          </w:tcPr>
          <w:p>
            <w:r>
              <w:rPr>
                <w:sz w:val="18"/>
              </w:rPr>
              <w:t>横断研究—アウトカムのイベント数または要約統計量を報告</w:t>
            </w:r>
          </w:p>
        </w:tc>
        <w:tc>
          <w:tcPr>
            <w:tcW w:type="dxa" w:w="3641"/>
            <w:tcW w:w="5670" w:type="dxa"/>
          </w:tcPr>
          <w:p>
            <w:r>
              <w:rPr>
                <w:sz w:val="18"/>
              </w:rPr>
              <w:t>Table 1: 各薬剤×期間の平均、SD、中央値、IQR、範囲。</w:t>
              <w:br/>
              <w:t>Table 2: Spearman ρ、Kendall τ、四半期ρとP値。</w:t>
              <w:br/>
              <w:t>Figures 1–6: 視覚的要約</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16a</w:t>
            </w:r>
          </w:p>
        </w:tc>
        <w:tc>
          <w:tcPr>
            <w:tcW w:type="dxa" w:w="3641"/>
            <w:tcW w:w="4536" w:type="dxa"/>
          </w:tcPr>
          <w:p>
            <w:r>
              <w:rPr>
                <w:sz w:val="18"/>
              </w:rPr>
              <w:t>未調整の推定値、該当する場合は調整済み推定値とその精度を示す</w:t>
            </w:r>
          </w:p>
        </w:tc>
        <w:tc>
          <w:tcPr>
            <w:tcW w:type="dxa" w:w="3641"/>
            <w:tcW w:w="5670" w:type="dxa"/>
          </w:tcPr>
          <w:p>
            <w:r>
              <w:rPr>
                <w:sz w:val="18"/>
              </w:rPr>
              <w:t>結果: Spearman ρ、Kendall τ、Mann-Whitney U P値、Welch t P値、Cohen dを各薬剤別に報告。交絡因子調整なし（観察的市場データ）</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16b</w:t>
            </w:r>
          </w:p>
        </w:tc>
        <w:tc>
          <w:tcPr>
            <w:tcW w:type="dxa" w:w="3641"/>
            <w:tcW w:w="4536" w:type="dxa"/>
          </w:tcPr>
          <w:p>
            <w:r>
              <w:rPr>
                <w:sz w:val="18"/>
              </w:rPr>
              <w:t>連続変数をカテゴリ化した場合、その境界値を報告する</w:t>
            </w:r>
          </w:p>
        </w:tc>
        <w:tc>
          <w:tcPr>
            <w:tcW w:type="dxa" w:w="3641"/>
            <w:tcW w:w="5670" w:type="dxa"/>
          </w:tcPr>
          <w:p>
            <w:r>
              <w:rPr>
                <w:sz w:val="18"/>
              </w:rPr>
              <w:t>変数: 規制段階を具体的な日付で定義（EC提案 2022年4月、トリローグ 2023年10月、採択 2024年2月、禁止 2026年1月）</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17</w:t>
            </w:r>
          </w:p>
        </w:tc>
        <w:tc>
          <w:tcPr>
            <w:tcW w:type="dxa" w:w="3641"/>
            <w:tcW w:w="4536" w:type="dxa"/>
          </w:tcPr>
          <w:p>
            <w:r>
              <w:rPr>
                <w:sz w:val="18"/>
              </w:rPr>
              <w:t>サブグループ分析、交互作用、感度分析など、その他の分析を報告</w:t>
            </w:r>
          </w:p>
        </w:tc>
        <w:tc>
          <w:tcPr>
            <w:tcW w:type="dxa" w:w="3641"/>
            <w:tcW w:w="5670" w:type="dxa"/>
          </w:tcPr>
          <w:p>
            <w:r>
              <w:rPr>
                <w:sz w:val="18"/>
              </w:rPr>
              <w:t>多期間分析: 4段階のKruskal-Wallis。</w:t>
              <w:br/>
              <w:t>補足分析: 出品価格横断分析（eTable 1）。</w:t>
              <w:br/>
              <w:t>感度分析: Welch t検定、四半期中央値トレンド</w:t>
            </w:r>
          </w:p>
        </w:tc>
        <w:tc>
          <w:tcPr>
            <w:tcW w:type="dxa" w:w="3641"/>
            <w:tcW w:w="850" w:type="dxa"/>
          </w:tcPr>
          <w:p>
            <w:pPr>
              <w:jc w:val="center"/>
            </w:pPr>
            <w:r>
              <w:rPr>
                <w:b/>
                <w:color w:val="008000"/>
                <w:sz w:val="18"/>
              </w:rPr>
              <w:t>済</w:t>
            </w:r>
          </w:p>
        </w:tc>
      </w:tr>
      <w:tr>
        <w:tc>
          <w:tcPr>
            <w:tcW w:type="dxa" w:w="14564"/>
            <w:gridSpan w:val="4"/>
            <w:shd w:fill="D6E4F0" w:val="clear"/>
            <w:tcW w:w="850" w:type="dxa"/>
            <w:tcW w:w="4536" w:type="dxa"/>
            <w:tcW w:w="5670" w:type="dxa"/>
            <w:tcW w:w="850" w:type="dxa"/>
          </w:tcPr>
          <w:p>
            <w:r>
              <w:rPr>
                <w:b/>
                <w:sz w:val="18"/>
              </w:rPr>
              <w:t>考察</w:t>
            </w:r>
          </w:p>
        </w:tc>
      </w:tr>
      <w:tr>
        <w:tc>
          <w:tcPr>
            <w:tcW w:type="dxa" w:w="3641"/>
            <w:tcW w:w="850" w:type="dxa"/>
          </w:tcPr>
          <w:p>
            <w:pPr>
              <w:jc w:val="center"/>
            </w:pPr>
            <w:r>
              <w:rPr>
                <w:b/>
                <w:sz w:val="18"/>
              </w:rPr>
              <w:t>18</w:t>
            </w:r>
          </w:p>
        </w:tc>
        <w:tc>
          <w:tcPr>
            <w:tcW w:type="dxa" w:w="3641"/>
            <w:tcW w:w="4536" w:type="dxa"/>
          </w:tcPr>
          <w:p>
            <w:r>
              <w:rPr>
                <w:sz w:val="18"/>
              </w:rPr>
              <w:t>研究目的を参照し、主要な結果を要約する</w:t>
            </w:r>
          </w:p>
        </w:tc>
        <w:tc>
          <w:tcPr>
            <w:tcW w:type="dxa" w:w="3641"/>
            <w:tcW w:w="5670" w:type="dxa"/>
          </w:tcPr>
          <w:p>
            <w:r>
              <w:rPr>
                <w:sz w:val="18"/>
              </w:rPr>
              <w:t>考察, 主要な知見: デスフルランの薬剤特異的価格下落を確認；セボフルラン・イソフルランは仮説通り安定</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19</w:t>
            </w:r>
          </w:p>
        </w:tc>
        <w:tc>
          <w:tcPr>
            <w:tcW w:type="dxa" w:w="3641"/>
            <w:tcW w:w="4536" w:type="dxa"/>
          </w:tcPr>
          <w:p>
            <w:r>
              <w:rPr>
                <w:sz w:val="18"/>
              </w:rPr>
              <w:t>バイアスや不正確さの原因を考慮し、研究の限界を議論する</w:t>
            </w:r>
          </w:p>
        </w:tc>
        <w:tc>
          <w:tcPr>
            <w:tcW w:type="dxa" w:w="3641"/>
            <w:tcW w:w="5670" w:type="dxa"/>
          </w:tcPr>
          <w:p>
            <w:r>
              <w:rPr>
                <w:sz w:val="18"/>
              </w:rPr>
              <w:t>考察, 長所と限界: プラットフォームバイアス（eBayのみ）、機器状態/年数の制御不能、禁止後サンプルが小、グローバル市場、提案前ベースラインの欠如</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20</w:t>
            </w:r>
          </w:p>
        </w:tc>
        <w:tc>
          <w:tcPr>
            <w:tcW w:type="dxa" w:w="3641"/>
            <w:tcW w:w="4536" w:type="dxa"/>
          </w:tcPr>
          <w:p>
            <w:r>
              <w:rPr>
                <w:sz w:val="18"/>
              </w:rPr>
              <w:t>目的、限界、分析の多重性、類似研究の結果を考慮し、慎重な全体的解釈を示す</w:t>
            </w:r>
          </w:p>
        </w:tc>
        <w:tc>
          <w:tcPr>
            <w:tcW w:type="dxa" w:w="3641"/>
            <w:tcW w:w="5670" w:type="dxa"/>
          </w:tcPr>
          <w:p>
            <w:r>
              <w:rPr>
                <w:sz w:val="18"/>
              </w:rPr>
              <w:t>考察, 主要な知見および他の研究との比較: 規制陳腐化文献、車両排出規制研究、BFMVベンチマークと文脈化。慎重な表現を使用</w:t>
            </w:r>
          </w:p>
        </w:tc>
        <w:tc>
          <w:tcPr>
            <w:tcW w:type="dxa" w:w="3641"/>
            <w:tcW w:w="850" w:type="dxa"/>
          </w:tcPr>
          <w:p>
            <w:pPr>
              <w:jc w:val="center"/>
            </w:pPr>
            <w:r>
              <w:rPr>
                <w:b/>
                <w:color w:val="008000"/>
                <w:sz w:val="18"/>
              </w:rPr>
              <w:t>済</w:t>
            </w:r>
          </w:p>
        </w:tc>
      </w:tr>
      <w:tr>
        <w:tc>
          <w:tcPr>
            <w:tcW w:type="dxa" w:w="3641"/>
            <w:tcW w:w="850" w:type="dxa"/>
          </w:tcPr>
          <w:p>
            <w:pPr>
              <w:jc w:val="center"/>
            </w:pPr>
            <w:r>
              <w:rPr>
                <w:b/>
                <w:sz w:val="18"/>
              </w:rPr>
              <w:t>21</w:t>
            </w:r>
          </w:p>
        </w:tc>
        <w:tc>
          <w:tcPr>
            <w:tcW w:type="dxa" w:w="3641"/>
            <w:tcW w:w="4536" w:type="dxa"/>
          </w:tcPr>
          <w:p>
            <w:r>
              <w:rPr>
                <w:sz w:val="18"/>
              </w:rPr>
              <w:t>研究結果の一般化可能性（外的妥当性）を議論する</w:t>
            </w:r>
          </w:p>
        </w:tc>
        <w:tc>
          <w:tcPr>
            <w:tcW w:type="dxa" w:w="3641"/>
            <w:tcW w:w="5670" w:type="dxa"/>
          </w:tcPr>
          <w:p>
            <w:r>
              <w:rPr>
                <w:sz w:val="18"/>
              </w:rPr>
              <w:t>考察, 示唆: 「同様の規制を検討中の管轄地域の医療機関にとって…」；eBayが中古市場の一部であることを認識</w:t>
            </w:r>
          </w:p>
        </w:tc>
        <w:tc>
          <w:tcPr>
            <w:tcW w:type="dxa" w:w="3641"/>
            <w:tcW w:w="850" w:type="dxa"/>
          </w:tcPr>
          <w:p>
            <w:pPr>
              <w:jc w:val="center"/>
            </w:pPr>
            <w:r>
              <w:rPr>
                <w:b/>
                <w:color w:val="008000"/>
                <w:sz w:val="18"/>
              </w:rPr>
              <w:t>済</w:t>
            </w:r>
          </w:p>
        </w:tc>
      </w:tr>
      <w:tr>
        <w:tc>
          <w:tcPr>
            <w:tcW w:type="dxa" w:w="14564"/>
            <w:gridSpan w:val="4"/>
            <w:shd w:fill="D6E4F0" w:val="clear"/>
            <w:tcW w:w="850" w:type="dxa"/>
            <w:tcW w:w="4536" w:type="dxa"/>
            <w:tcW w:w="5670" w:type="dxa"/>
            <w:tcW w:w="850" w:type="dxa"/>
          </w:tcPr>
          <w:p>
            <w:r>
              <w:rPr>
                <w:b/>
                <w:sz w:val="18"/>
              </w:rPr>
              <w:t>その他の情報</w:t>
            </w:r>
          </w:p>
        </w:tc>
      </w:tr>
      <w:tr>
        <w:tc>
          <w:tcPr>
            <w:tcW w:type="dxa" w:w="3641"/>
            <w:tcW w:w="850" w:type="dxa"/>
          </w:tcPr>
          <w:p>
            <w:pPr>
              <w:jc w:val="center"/>
            </w:pPr>
            <w:r>
              <w:rPr>
                <w:b/>
                <w:sz w:val="18"/>
              </w:rPr>
              <w:t>22</w:t>
            </w:r>
          </w:p>
        </w:tc>
        <w:tc>
          <w:tcPr>
            <w:tcW w:type="dxa" w:w="3641"/>
            <w:tcW w:w="4536" w:type="dxa"/>
          </w:tcPr>
          <w:p>
            <w:r>
              <w:rPr>
                <w:sz w:val="18"/>
              </w:rPr>
              <w:t>現在の研究の資金源と資金提供者の役割を示す</w:t>
            </w:r>
          </w:p>
        </w:tc>
        <w:tc>
          <w:tcPr>
            <w:tcW w:type="dxa" w:w="3641"/>
            <w:tcW w:w="5670" w:type="dxa"/>
          </w:tcPr>
          <w:p>
            <w:r>
              <w:rPr>
                <w:sz w:val="18"/>
              </w:rPr>
              <w:t>透明性宣言: 「本研究に対する外部資金は受けていない」</w:t>
            </w:r>
          </w:p>
        </w:tc>
        <w:tc>
          <w:tcPr>
            <w:tcW w:type="dxa" w:w="3641"/>
            <w:tcW w:w="850" w:type="dxa"/>
          </w:tcPr>
          <w:p>
            <w:pPr>
              <w:jc w:val="center"/>
            </w:pPr>
            <w:r>
              <w:rPr>
                <w:b/>
                <w:color w:val="008000"/>
                <w:sz w:val="18"/>
              </w:rPr>
              <w:t>済</w:t>
            </w:r>
          </w:p>
        </w:tc>
      </w:tr>
    </w:tbl>
    <w:p/>
    <w:p>
      <w:r>
        <w:rPr>
          <w:b/>
          <w:sz w:val="18"/>
        </w:rPr>
        <w:t xml:space="preserve">注: </w:t>
      </w:r>
      <w:r>
        <w:rPr>
          <w:i/>
          <w:sz w:val="18"/>
        </w:rPr>
        <w:t>STROBEチェックリストの詳細な説明と背景は、Explanation and Elaboration論文を参照してください（www.strobe-statement.orgで無料公開）。</w:t>
      </w:r>
    </w:p>
    <w:sectPr w:rsidR="00FC693F" w:rsidRPr="0006063C" w:rsidSect="00034616">
      <w:pgSz w:w="16834" w:h="119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