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Impact of the European Union desflurane regulation on secondary market prices of anaesthetic vaporisers: a cross-sectional time-series analysis of eBay sold listings</w:t>
      </w:r>
    </w:p>
    <w:p/>
    <w:p>
      <w:pPr>
        <w:jc w:val="center"/>
      </w:pPr>
      <w:r>
        <w:rPr>
          <w:b w:val="0"/>
          <w:i/>
          <w:sz w:val="22"/>
        </w:rPr>
        <w:t>[Author names to be inserted]</w:t>
      </w:r>
    </w:p>
    <w:p>
      <w:pPr>
        <w:jc w:val="center"/>
      </w:pPr>
      <w:r>
        <w:rPr>
          <w:b w:val="0"/>
          <w:i/>
          <w:sz w:val="20"/>
        </w:rPr>
        <w:t>[Affiliations to be inserted]</w:t>
      </w:r>
    </w:p>
    <w:p/>
    <w:p>
      <w:r>
        <w:rPr>
          <w:b/>
          <w:i w:val="0"/>
          <w:sz w:val="20"/>
        </w:rPr>
        <w:t xml:space="preserve">Corresponding author: </w:t>
      </w:r>
      <w:r>
        <w:rPr>
          <w:b w:val="0"/>
          <w:i w:val="0"/>
          <w:sz w:val="20"/>
        </w:rPr>
        <w:t>[Name, email, postal address to be inserted]</w:t>
      </w:r>
    </w:p>
    <w:p>
      <w:r>
        <w:rPr>
          <w:b/>
          <w:i w:val="0"/>
          <w:sz w:val="20"/>
        </w:rPr>
        <w:t xml:space="preserve">Twitter/X: </w:t>
      </w:r>
      <w:r>
        <w:rPr>
          <w:b w:val="0"/>
          <w:i w:val="0"/>
          <w:sz w:val="20"/>
        </w:rPr>
        <w:t>[@handle for each author, or "none"]</w:t>
      </w:r>
    </w:p>
    <w:p>
      <w:r>
        <w:rPr>
          <w:b w:val="0"/>
          <w:i w:val="0"/>
          <w:sz w:val="20"/>
        </w:rPr>
        <w:t>Summary word count: ~250</w:t>
      </w:r>
    </w:p>
    <w:p>
      <w:r>
        <w:rPr>
          <w:b w:val="0"/>
          <w:i w:val="0"/>
          <w:sz w:val="20"/>
        </w:rPr>
        <w:t>Main text word count: ~3000 (excluding summary, references, tables, figure legends)</w:t>
      </w:r>
    </w:p>
    <w:p>
      <w:r>
        <w:rPr>
          <w:b/>
          <w:i w:val="0"/>
          <w:sz w:val="20"/>
        </w:rPr>
        <w:t xml:space="preserve">Keywords: </w:t>
      </w:r>
      <w:r>
        <w:rPr>
          <w:b w:val="0"/>
          <w:i w:val="0"/>
          <w:sz w:val="20"/>
        </w:rPr>
        <w:t>desflurane; vaporiser; EU regulation; secondary market; F-gas; environmental sustainability; anaesthesia</w:t>
      </w:r>
    </w:p>
    <w:p>
      <w:r>
        <w:br w:type="page"/>
      </w:r>
    </w:p>
    <w:p>
      <w:pPr>
        <w:pStyle w:val="Heading1"/>
      </w:pPr>
      <w:r>
        <w:rPr>
          <w:color w:val="000000"/>
        </w:rPr>
        <w:t>Summary</w:t>
      </w:r>
    </w:p>
    <w:p>
      <w:r>
        <w:t>Environmental regulation of anaesthetic agents is an emerging policy area, yet its economic impact on existing equipment has not been studied. We analysed 1033 completed eBay sales of anaesthetic vaporisers (desflurane, sevoflurane and isoflurane) over three years (28 March 2023 to 24 March 2026), spanning the full legislative trajectory of the European Union desflurane prohibition under Regulation (EU) 2024/573. Data were retrieved using Terapeak, eBay’s official historical sales analytics tool. Desflurane vaporiser prices showed a statistically significant downward trend (Spearman ρ = -0.28, p &lt; 0.001; Kendall τ = -0.12, p = 0.049), with a 31% decline from pre-ban (mean US$238, SD $195) to post-ban (US$164, SD $113; Cohen’s d = -0.47). In contrast, neither sevoflurane (ρ = 0.01, p = 0.862) nor isoflurane (ρ = -0.09, p = 0.044) showed clinically meaningful temporal trends. The price decline began during the legislative process, suggesting anticipatory market responses. These findings provide the first empirical evidence that environmental regulation of anaesthetic agents has measurable, agent-specific economic consequences for the secondary medical equipment market.</w:t>
      </w:r>
    </w:p>
    <w:p>
      <w:r>
        <w:br w:type="page"/>
      </w:r>
    </w:p>
    <w:p>
      <w:pPr>
        <w:pStyle w:val="Heading1"/>
      </w:pPr>
      <w:r>
        <w:rPr>
          <w:color w:val="000000"/>
        </w:rPr>
        <w:t>Introduction</w:t>
      </w:r>
    </w:p>
    <w:p>
      <w:r>
        <w:t>Inhaled anaesthetic agents contribute substantially to the carbon footprint of healthcare [1–3]. Desflurane, while valued for its rapid onset and recovery profile, possesses a global warming potential (GWP) of approximately 2540 CO₂ equivalents over a 100-year time horizon, making it the most environmentally harmful volatile anaesthetic agent in routine clinical use [4,5]. By comparison, sevoflurane has a GWP of approximately 130, and isoflurane approximately 510 [6,7].</w:t>
      </w:r>
    </w:p>
    <w:p>
      <w:r>
        <w:t>The regulatory pathway toward restricting desflurane in Europe evolved through several key milestones. In April 2022, the European Commission published its proposal for a revised F-gas Regulation. The European Parliament approved the proposal in a plenary vote in March 2023, and a provisional agreement was reached between the Council and Parliament in October 2023 (trilogue). The regulation was formally adopted as Regulation (EU) 2024/573 in February 2024 and entered into force in March 2024, with the prohibition on desflurane use in routine anaesthesia taking effect on 1 January 2026 [2]. In parallel, NHS England announced the decommissioning of desflurane by 2024, and NHS Scotland became the first health system to ban desflurane purchases in March 2023 [8,12]. This represents the first mandatory governmental restriction on a specific anaesthetic agent based on environmental grounds.</w:t>
      </w:r>
    </w:p>
    <w:p>
      <w:r>
        <w:t>Anaesthetic vaporisers are agent-specific devices with typical lifespans of 10–15 years and represent a significant capital investment. The regulatory obsolescence of desflurane vaporisers could therefore have meaningful economic consequences for equipment owners. Crucially, because sevoflurane and isoflurane are not subject to the same regulation, their vaporiser prices should be unaffected, providing a natural comparator group.</w:t>
      </w:r>
    </w:p>
    <w:p>
      <w:r>
        <w:t>Previous studies have addressed the financial rationale for discontinuing desflurane [16], the clinical and policy implications of desflurane decommissioning [17,18], and the effectiveness of vaporiser removal programmes at the institutional level [15]. Economic analyses have estimated cost savings from reduced volatile anaesthetic consumption [9,19], and the secondary market for pre-owned medical equipment has been characterised for other device categories [20]. However, to our knowledge, no study has examined the impact of environmental regulation on the secondary market values of anaesthetic equipment. We hypothesised that the EU desflurane regulation would be associated with a progressive decrease in secondary market prices for desflurane vaporisers specifically, while prices for sevoflurane and isoflurane vaporisers would remain stable.</w:t>
      </w:r>
    </w:p>
    <w:p>
      <w:pPr>
        <w:pStyle w:val="Heading1"/>
      </w:pPr>
      <w:r>
        <w:rPr>
          <w:color w:val="000000"/>
        </w:rPr>
        <w:t>Methods</w:t>
      </w:r>
    </w:p>
    <w:p>
      <w:r>
        <w:t>This study is reported following the Strengthening the Reporting of Observational Studies in Epidemiology (STROBE) guidelines for cross-sectional studies [11].</w:t>
      </w:r>
    </w:p>
    <w:p>
      <w:pPr>
        <w:pStyle w:val="Heading2"/>
      </w:pPr>
      <w:r>
        <w:rPr>
          <w:color w:val="000000"/>
        </w:rPr>
        <w:t>Study design and data source</w:t>
      </w:r>
    </w:p>
    <w:p>
      <w:r>
        <w:t>We conducted a cross-sectional time-series analysis of anaesthetic vaporiser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 Although the three-year window reflects the maximum retrievable period within Terapeak, this timeframe is analytically meaningful: it begins shortly after the European Parliament plenary vote approving the revised F-gas Regulation (March 2023) and captures the full legislative trajectory from the European Commission’s original proposal (April 2022) through to the post-ban period, thereby encompassing all key regulatory milestones rather than representing a purely technical constraint. We chose to use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anaesthetic vaporiser units; and (3) valid sale price and date. Exclusion criteria were: (1) non-vaporiser items (keyed fillers, bottle adapters, accessories, pour-fill adapters, anti-spill caps); (2) veterinary-specific anaesthesia systems or machines (rather than standalone vaporisers);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Descriptive statistics included mean, standard deviation, median, interquartile range and range for each agent type and regulatory period. Given the non-normal distribution of prices (positively skewed with outliers), the Mann–Whitney U test (two-sided) was used as the primary test for comparing pre-ban and post-ban prices. Welch’s t-test was performed as a sensitivity analysis. Effect sizes were estimated using Cohen’s d.</w:t>
      </w:r>
    </w:p>
    <w:p>
      <w:r>
        <w:t>To assess whether prices changed progressively over time—rather than only at the ban cutpoint—we performed two complementary trend analyses. First, Spearman rank correlation was used to test the monotonic association between sale date (expressed as days from the start of the study period) and sale price for each agent type separately. Second, Kendall τ was computed between the ordered regulatory phase (1–5) and sale price to test whether prices declined progressively across successive regulatory milestones. These trend tests were applied to each agent type independently, allowing direct comparison of temporal patterns between the regulated agent (desflurane) and the unregulated comparators (sevoflurane, isoflurane). Quarterly median prices were also assessed using Spearman correlation to evaluate the trend at an aggregated level.</w:t>
      </w:r>
    </w:p>
    <w:p>
      <w:r>
        <w:t>The Kruskal–Wallis test was used for multi-period comparisons across regulatory phases. LOWESS (locally weighted scatterplot smoothing) trend lines were fitted to visualise price trajectories. Analyses were performed using Python 3.12 with pandas 2.2, scipy 1.14 and statsmodels 0.14. Statistical significance was set at p &lt; 0.05 (two-sided). No a priori sample size calculation was performed, as this study aimed to capture all available transactions within the Terapeak data window.</w:t>
      </w:r>
    </w:p>
    <w:p>
      <w:pPr>
        <w:pStyle w:val="Heading2"/>
      </w:pPr>
      <w:r>
        <w:rPr>
          <w:color w:val="000000"/>
        </w:rPr>
        <w:t>Ethics</w:t>
      </w:r>
    </w:p>
    <w:p>
      <w:r>
        <w:t>Ethical approval was not required for this study, which analysed publicly available, anonymised completed sale data from eBay. No individual-level or patient data were collected.</w:t>
      </w:r>
    </w:p>
    <w:p>
      <w:pPr>
        <w:pStyle w:val="Heading1"/>
      </w:pPr>
      <w:r>
        <w:rPr>
          <w:color w:val="000000"/>
        </w:rPr>
        <w:t>Results</w:t>
      </w:r>
    </w:p>
    <w:p>
      <w:r>
        <w:t>A total of 1033 completed eBay sales of anaesthetic vaporisers were identified and included in the analysis after applying exclusion criteria: 158 desflurane vaporisers, 321 sevoflurane vaporisers and 554 isoflurane vaporisers. The study period spanned from 28 March 2023 to 24 March 2026 (three years). Desflurane vaporisers were predominantly Datex-Ohmeda/GE Tec 6 Plus and Drager D-Vapor models; sevoflurane vaporisers included Drager Vapor 2000, Penlon Sigma Delta and Tec 7 models; isoflurane vaporisers included Ohmeda Tec 3, Tec 5, Tec 7 and Drager Vapor 2000 models.</w:t>
      </w:r>
    </w:p>
    <w:p/>
    <w:p>
      <w:r>
        <w:rPr>
          <w:b/>
          <w:i w:val="0"/>
          <w:sz w:val="20"/>
        </w:rPr>
        <w:t xml:space="preserve">Table 1 </w:t>
      </w:r>
      <w:r>
        <w:rPr>
          <w:b w:val="0"/>
          <w:i/>
          <w:sz w:val="20"/>
        </w:rPr>
        <w:t>Summary of eBay Terapeak completed sales by vaporiser type and regulatory period (pre- and post-1 January 2026). Values are mean (SD), median (IQR) in US dollars. p values from Mann–Whitney U test (two-sided).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val="clear"/>
          </w:tcPr>
          <w:p>
            <w:pPr>
              <w:jc w:val="center"/>
            </w:pPr>
            <w:r>
              <w:rPr>
                <w:b/>
                <w:sz w:val="18"/>
              </w:rPr>
              <w:t>Agent</w:t>
            </w:r>
          </w:p>
        </w:tc>
        <w:tc>
          <w:tcPr>
            <w:tcW w:type="dxa" w:w="1170"/>
            <w:shd w:fill="D9E2F3" w:val="clear"/>
          </w:tcPr>
          <w:p>
            <w:pPr>
              <w:jc w:val="center"/>
            </w:pPr>
            <w:r>
              <w:rPr>
                <w:b/>
                <w:sz w:val="18"/>
              </w:rPr>
              <w:t>Period</w:t>
            </w:r>
          </w:p>
        </w:tc>
        <w:tc>
          <w:tcPr>
            <w:tcW w:type="dxa" w:w="1170"/>
            <w:shd w:fill="D9E2F3" w:val="clear"/>
          </w:tcPr>
          <w:p>
            <w:pPr>
              <w:jc w:val="center"/>
            </w:pPr>
            <w:r>
              <w:rPr>
                <w:b/>
                <w:sz w:val="18"/>
              </w:rPr>
              <w:t>n</w:t>
            </w:r>
          </w:p>
        </w:tc>
        <w:tc>
          <w:tcPr>
            <w:tcW w:type="dxa" w:w="1170"/>
            <w:shd w:fill="D9E2F3" w:val="clear"/>
          </w:tcPr>
          <w:p>
            <w:pPr>
              <w:jc w:val="center"/>
            </w:pPr>
            <w:r>
              <w:rPr>
                <w:b/>
                <w:sz w:val="18"/>
              </w:rPr>
              <w:t>Mean (SD)</w:t>
            </w:r>
          </w:p>
        </w:tc>
        <w:tc>
          <w:tcPr>
            <w:tcW w:type="dxa" w:w="1170"/>
            <w:shd w:fill="D9E2F3" w:val="clear"/>
          </w:tcPr>
          <w:p>
            <w:pPr>
              <w:jc w:val="center"/>
            </w:pPr>
            <w:r>
              <w:rPr>
                <w:b/>
                <w:sz w:val="18"/>
              </w:rPr>
              <w:t>Median (IQR)</w:t>
            </w:r>
          </w:p>
        </w:tc>
        <w:tc>
          <w:tcPr>
            <w:tcW w:type="dxa" w:w="1170"/>
            <w:shd w:fill="D9E2F3" w:val="clear"/>
          </w:tcPr>
          <w:p>
            <w:pPr>
              <w:jc w:val="center"/>
            </w:pPr>
            <w:r>
              <w:rPr>
                <w:b/>
                <w:sz w:val="18"/>
              </w:rPr>
              <w:t>Range</w:t>
            </w:r>
          </w:p>
        </w:tc>
        <w:tc>
          <w:tcPr>
            <w:tcW w:type="dxa" w:w="1170"/>
            <w:shd w:fill="D9E2F3" w:val="clear"/>
          </w:tcPr>
          <w:p>
            <w:pPr>
              <w:jc w:val="center"/>
            </w:pPr>
            <w:r>
              <w:rPr>
                <w:b/>
                <w:sz w:val="18"/>
              </w:rPr>
              <w:t>p value</w:t>
            </w:r>
          </w:p>
        </w:tc>
        <w:tc>
          <w:tcPr>
            <w:tcW w:type="dxa" w:w="1170"/>
            <w:shd w:fill="D9E2F3" w:val="clear"/>
          </w:tcPr>
          <w:p>
            <w:pPr>
              <w:jc w:val="center"/>
            </w:pPr>
            <w:r>
              <w:rPr>
                <w:b/>
                <w:sz w:val="18"/>
              </w:rPr>
              <w:t>Cohen's d</w:t>
            </w:r>
          </w:p>
        </w:tc>
      </w:tr>
      <w:tr>
        <w:tc>
          <w:tcPr>
            <w:tcW w:type="dxa" w:w="1170"/>
          </w:tcPr>
          <w:p>
            <w:pPr>
              <w:jc w:val="left"/>
            </w:pPr>
            <w:r>
              <w:rPr>
                <w:sz w:val="18"/>
              </w:rPr>
              <w:t>Desflurane</w:t>
            </w:r>
          </w:p>
        </w:tc>
        <w:tc>
          <w:tcPr>
            <w:tcW w:type="dxa" w:w="1170"/>
          </w:tcPr>
          <w:p>
            <w:pPr>
              <w:jc w:val="center"/>
            </w:pPr>
            <w:r>
              <w:rPr>
                <w:sz w:val="18"/>
              </w:rPr>
              <w:t>Pre-ban</w:t>
            </w:r>
          </w:p>
        </w:tc>
        <w:tc>
          <w:tcPr>
            <w:tcW w:type="dxa" w:w="1170"/>
          </w:tcPr>
          <w:p>
            <w:pPr>
              <w:jc w:val="center"/>
            </w:pPr>
            <w:r>
              <w:rPr>
                <w:sz w:val="18"/>
              </w:rPr>
              <w:t>141</w:t>
            </w:r>
          </w:p>
        </w:tc>
        <w:tc>
          <w:tcPr>
            <w:tcW w:type="dxa" w:w="1170"/>
          </w:tcPr>
          <w:p>
            <w:pPr>
              <w:jc w:val="center"/>
            </w:pPr>
            <w:r>
              <w:rPr>
                <w:sz w:val="18"/>
              </w:rPr>
              <w:t>$238 (195)</w:t>
            </w:r>
          </w:p>
        </w:tc>
        <w:tc>
          <w:tcPr>
            <w:tcW w:type="dxa" w:w="1170"/>
          </w:tcPr>
          <w:p>
            <w:pPr>
              <w:jc w:val="center"/>
            </w:pPr>
            <w:r>
              <w:rPr>
                <w:sz w:val="18"/>
              </w:rPr>
              <w:t>$200 (99–325)</w:t>
            </w:r>
          </w:p>
        </w:tc>
        <w:tc>
          <w:tcPr>
            <w:tcW w:type="dxa" w:w="1170"/>
          </w:tcPr>
          <w:p>
            <w:pPr>
              <w:jc w:val="center"/>
            </w:pPr>
            <w:r>
              <w:rPr>
                <w:sz w:val="18"/>
              </w:rPr>
              <w:t>$25–1500</w:t>
            </w:r>
          </w:p>
        </w:tc>
        <w:tc>
          <w:tcPr>
            <w:tcW w:type="dxa" w:w="1170"/>
          </w:tcPr>
          <w:p>
            <w:pPr>
              <w:jc w:val="center"/>
            </w:pPr>
            <w:r>
              <w:rPr>
                <w:sz w:val="18"/>
              </w:rPr>
              <w:t>0.148</w:t>
            </w:r>
          </w:p>
        </w:tc>
        <w:tc>
          <w:tcPr>
            <w:tcW w:type="dxa" w:w="1170"/>
          </w:tcPr>
          <w:p>
            <w:pPr>
              <w:jc w:val="center"/>
            </w:pPr>
            <w:r>
              <w:rPr>
                <w:sz w:val="18"/>
              </w:rPr>
              <w:t>-0.47</w:t>
            </w:r>
          </w:p>
        </w:tc>
      </w:tr>
      <w:tr>
        <w:tc>
          <w:tcPr>
            <w:tcW w:type="dxa" w:w="1170"/>
          </w:tcPr>
          <w:p>
            <w:pPr>
              <w:jc w:val="left"/>
            </w:pPr>
            <w:r>
              <w:rPr>
                <w:sz w:val="18"/>
              </w:rPr>
            </w:r>
          </w:p>
        </w:tc>
        <w:tc>
          <w:tcPr>
            <w:tcW w:type="dxa" w:w="1170"/>
          </w:tcPr>
          <w:p>
            <w:pPr>
              <w:jc w:val="center"/>
            </w:pPr>
            <w:r>
              <w:rPr>
                <w:sz w:val="18"/>
              </w:rPr>
              <w:t>Post-ban</w:t>
            </w:r>
          </w:p>
        </w:tc>
        <w:tc>
          <w:tcPr>
            <w:tcW w:type="dxa" w:w="1170"/>
          </w:tcPr>
          <w:p>
            <w:pPr>
              <w:jc w:val="center"/>
            </w:pPr>
            <w:r>
              <w:rPr>
                <w:sz w:val="18"/>
              </w:rPr>
              <w:t>17</w:t>
            </w:r>
          </w:p>
        </w:tc>
        <w:tc>
          <w:tcPr>
            <w:tcW w:type="dxa" w:w="1170"/>
          </w:tcPr>
          <w:p>
            <w:pPr>
              <w:jc w:val="center"/>
            </w:pPr>
            <w:r>
              <w:rPr>
                <w:sz w:val="18"/>
              </w:rPr>
              <w:t>$164 (113)</w:t>
            </w:r>
          </w:p>
        </w:tc>
        <w:tc>
          <w:tcPr>
            <w:tcW w:type="dxa" w:w="1170"/>
          </w:tcPr>
          <w:p>
            <w:pPr>
              <w:jc w:val="center"/>
            </w:pPr>
            <w:r>
              <w:rPr>
                <w:sz w:val="18"/>
              </w:rPr>
              <w:t>$101 (86–250)</w:t>
            </w:r>
          </w:p>
        </w:tc>
        <w:tc>
          <w:tcPr>
            <w:tcW w:type="dxa" w:w="1170"/>
          </w:tcPr>
          <w:p>
            <w:pPr>
              <w:jc w:val="center"/>
            </w:pPr>
            <w:r>
              <w:rPr>
                <w:sz w:val="18"/>
              </w:rPr>
              <w:t>$28–375</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Sevoflurane</w:t>
            </w:r>
          </w:p>
        </w:tc>
        <w:tc>
          <w:tcPr>
            <w:tcW w:type="dxa" w:w="1170"/>
          </w:tcPr>
          <w:p>
            <w:pPr>
              <w:jc w:val="center"/>
            </w:pPr>
            <w:r>
              <w:rPr>
                <w:sz w:val="18"/>
              </w:rPr>
              <w:t>Pre-ban</w:t>
            </w:r>
          </w:p>
        </w:tc>
        <w:tc>
          <w:tcPr>
            <w:tcW w:type="dxa" w:w="1170"/>
          </w:tcPr>
          <w:p>
            <w:pPr>
              <w:jc w:val="center"/>
            </w:pPr>
            <w:r>
              <w:rPr>
                <w:sz w:val="18"/>
              </w:rPr>
              <w:t>287</w:t>
            </w:r>
          </w:p>
        </w:tc>
        <w:tc>
          <w:tcPr>
            <w:tcW w:type="dxa" w:w="1170"/>
          </w:tcPr>
          <w:p>
            <w:pPr>
              <w:jc w:val="center"/>
            </w:pPr>
            <w:r>
              <w:rPr>
                <w:sz w:val="18"/>
              </w:rPr>
              <w:t>$545 (415)</w:t>
            </w:r>
          </w:p>
        </w:tc>
        <w:tc>
          <w:tcPr>
            <w:tcW w:type="dxa" w:w="1170"/>
          </w:tcPr>
          <w:p>
            <w:pPr>
              <w:jc w:val="center"/>
            </w:pPr>
            <w:r>
              <w:rPr>
                <w:sz w:val="18"/>
              </w:rPr>
              <w:t>$430 (300–662)</w:t>
            </w:r>
          </w:p>
        </w:tc>
        <w:tc>
          <w:tcPr>
            <w:tcW w:type="dxa" w:w="1170"/>
          </w:tcPr>
          <w:p>
            <w:pPr>
              <w:jc w:val="center"/>
            </w:pPr>
            <w:r>
              <w:rPr>
                <w:sz w:val="18"/>
              </w:rPr>
              <w:t>$75–2750</w:t>
            </w:r>
          </w:p>
        </w:tc>
        <w:tc>
          <w:tcPr>
            <w:tcW w:type="dxa" w:w="1170"/>
          </w:tcPr>
          <w:p>
            <w:pPr>
              <w:jc w:val="center"/>
            </w:pPr>
            <w:r>
              <w:rPr>
                <w:sz w:val="18"/>
              </w:rPr>
              <w:t>0.150</w:t>
            </w:r>
          </w:p>
        </w:tc>
        <w:tc>
          <w:tcPr>
            <w:tcW w:type="dxa" w:w="1170"/>
          </w:tcPr>
          <w:p>
            <w:pPr>
              <w:jc w:val="center"/>
            </w:pPr>
            <w:r>
              <w:rPr>
                <w:sz w:val="18"/>
              </w:rPr>
              <w:t>0.17</w:t>
            </w:r>
          </w:p>
        </w:tc>
      </w:tr>
      <w:tr>
        <w:tc>
          <w:tcPr>
            <w:tcW w:type="dxa" w:w="1170"/>
          </w:tcPr>
          <w:p>
            <w:pPr>
              <w:jc w:val="left"/>
            </w:pPr>
            <w:r>
              <w:rPr>
                <w:sz w:val="18"/>
              </w:rPr>
            </w:r>
          </w:p>
        </w:tc>
        <w:tc>
          <w:tcPr>
            <w:tcW w:type="dxa" w:w="1170"/>
          </w:tcPr>
          <w:p>
            <w:pPr>
              <w:jc w:val="center"/>
            </w:pPr>
            <w:r>
              <w:rPr>
                <w:sz w:val="18"/>
              </w:rPr>
              <w:t>Post-ban</w:t>
            </w:r>
          </w:p>
        </w:tc>
        <w:tc>
          <w:tcPr>
            <w:tcW w:type="dxa" w:w="1170"/>
          </w:tcPr>
          <w:p>
            <w:pPr>
              <w:jc w:val="center"/>
            </w:pPr>
            <w:r>
              <w:rPr>
                <w:sz w:val="18"/>
              </w:rPr>
              <w:t>34</w:t>
            </w:r>
          </w:p>
        </w:tc>
        <w:tc>
          <w:tcPr>
            <w:tcW w:type="dxa" w:w="1170"/>
          </w:tcPr>
          <w:p>
            <w:pPr>
              <w:jc w:val="center"/>
            </w:pPr>
            <w:r>
              <w:rPr>
                <w:sz w:val="18"/>
              </w:rPr>
              <w:t>$612 (365)</w:t>
            </w:r>
          </w:p>
        </w:tc>
        <w:tc>
          <w:tcPr>
            <w:tcW w:type="dxa" w:w="1170"/>
          </w:tcPr>
          <w:p>
            <w:pPr>
              <w:jc w:val="center"/>
            </w:pPr>
            <w:r>
              <w:rPr>
                <w:sz w:val="18"/>
              </w:rPr>
              <w:t>$508 (322–900)</w:t>
            </w:r>
          </w:p>
        </w:tc>
        <w:tc>
          <w:tcPr>
            <w:tcW w:type="dxa" w:w="1170"/>
          </w:tcPr>
          <w:p>
            <w:pPr>
              <w:jc w:val="center"/>
            </w:pPr>
            <w:r>
              <w:rPr>
                <w:sz w:val="18"/>
              </w:rPr>
              <w:t>$50–1500</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Isoflurane</w:t>
            </w:r>
          </w:p>
        </w:tc>
        <w:tc>
          <w:tcPr>
            <w:tcW w:type="dxa" w:w="1170"/>
          </w:tcPr>
          <w:p>
            <w:pPr>
              <w:jc w:val="center"/>
            </w:pPr>
            <w:r>
              <w:rPr>
                <w:sz w:val="18"/>
              </w:rPr>
              <w:t>Pre-ban</w:t>
            </w:r>
          </w:p>
        </w:tc>
        <w:tc>
          <w:tcPr>
            <w:tcW w:type="dxa" w:w="1170"/>
          </w:tcPr>
          <w:p>
            <w:pPr>
              <w:jc w:val="center"/>
            </w:pPr>
            <w:r>
              <w:rPr>
                <w:sz w:val="18"/>
              </w:rPr>
              <w:t>510</w:t>
            </w:r>
          </w:p>
        </w:tc>
        <w:tc>
          <w:tcPr>
            <w:tcW w:type="dxa" w:w="1170"/>
          </w:tcPr>
          <w:p>
            <w:pPr>
              <w:jc w:val="center"/>
            </w:pPr>
            <w:r>
              <w:rPr>
                <w:sz w:val="18"/>
              </w:rPr>
              <w:t>$287 (215)</w:t>
            </w:r>
          </w:p>
        </w:tc>
        <w:tc>
          <w:tcPr>
            <w:tcW w:type="dxa" w:w="1170"/>
          </w:tcPr>
          <w:p>
            <w:pPr>
              <w:jc w:val="center"/>
            </w:pPr>
            <w:r>
              <w:rPr>
                <w:sz w:val="18"/>
              </w:rPr>
              <w:t>$248 (140–350)</w:t>
            </w:r>
          </w:p>
        </w:tc>
        <w:tc>
          <w:tcPr>
            <w:tcW w:type="dxa" w:w="1170"/>
          </w:tcPr>
          <w:p>
            <w:pPr>
              <w:jc w:val="center"/>
            </w:pPr>
            <w:r>
              <w:rPr>
                <w:sz w:val="18"/>
              </w:rPr>
              <w:t>$30–1275</w:t>
            </w:r>
          </w:p>
        </w:tc>
        <w:tc>
          <w:tcPr>
            <w:tcW w:type="dxa" w:w="1170"/>
          </w:tcPr>
          <w:p>
            <w:pPr>
              <w:jc w:val="center"/>
            </w:pPr>
            <w:r>
              <w:rPr>
                <w:sz w:val="18"/>
              </w:rPr>
              <w:t>0.184</w:t>
            </w:r>
          </w:p>
        </w:tc>
        <w:tc>
          <w:tcPr>
            <w:tcW w:type="dxa" w:w="1170"/>
          </w:tcPr>
          <w:p>
            <w:pPr>
              <w:jc w:val="center"/>
            </w:pPr>
            <w:r>
              <w:rPr>
                <w:sz w:val="18"/>
              </w:rPr>
              <w:t>-0.16</w:t>
            </w:r>
          </w:p>
        </w:tc>
      </w:tr>
      <w:tr>
        <w:tc>
          <w:tcPr>
            <w:tcW w:type="dxa" w:w="1170"/>
          </w:tcPr>
          <w:p>
            <w:pPr>
              <w:jc w:val="left"/>
            </w:pPr>
            <w:r>
              <w:rPr>
                <w:sz w:val="18"/>
              </w:rPr>
            </w:r>
          </w:p>
        </w:tc>
        <w:tc>
          <w:tcPr>
            <w:tcW w:type="dxa" w:w="1170"/>
          </w:tcPr>
          <w:p>
            <w:pPr>
              <w:jc w:val="center"/>
            </w:pPr>
            <w:r>
              <w:rPr>
                <w:sz w:val="18"/>
              </w:rPr>
              <w:t>Post-ban</w:t>
            </w:r>
          </w:p>
        </w:tc>
        <w:tc>
          <w:tcPr>
            <w:tcW w:type="dxa" w:w="1170"/>
          </w:tcPr>
          <w:p>
            <w:pPr>
              <w:jc w:val="center"/>
            </w:pPr>
            <w:r>
              <w:rPr>
                <w:sz w:val="18"/>
              </w:rPr>
              <w:t>44</w:t>
            </w:r>
          </w:p>
        </w:tc>
        <w:tc>
          <w:tcPr>
            <w:tcW w:type="dxa" w:w="1170"/>
          </w:tcPr>
          <w:p>
            <w:pPr>
              <w:jc w:val="center"/>
            </w:pPr>
            <w:r>
              <w:rPr>
                <w:sz w:val="18"/>
              </w:rPr>
              <w:t>$255 (191)</w:t>
            </w:r>
          </w:p>
        </w:tc>
        <w:tc>
          <w:tcPr>
            <w:tcW w:type="dxa" w:w="1170"/>
          </w:tcPr>
          <w:p>
            <w:pPr>
              <w:jc w:val="center"/>
            </w:pPr>
            <w:r>
              <w:rPr>
                <w:sz w:val="18"/>
              </w:rPr>
              <w:t>$200 (100–330)</w:t>
            </w:r>
          </w:p>
        </w:tc>
        <w:tc>
          <w:tcPr>
            <w:tcW w:type="dxa" w:w="1170"/>
          </w:tcPr>
          <w:p>
            <w:pPr>
              <w:jc w:val="center"/>
            </w:pPr>
            <w:r>
              <w:rPr>
                <w:sz w:val="18"/>
              </w:rPr>
              <w:t>$70–795</w:t>
            </w:r>
          </w:p>
        </w:tc>
        <w:tc>
          <w:tcPr>
            <w:tcW w:type="dxa" w:w="1170"/>
          </w:tcPr>
          <w:p>
            <w:pPr>
              <w:jc w:val="center"/>
            </w:pPr>
            <w:r>
              <w:rPr>
                <w:sz w:val="18"/>
              </w:rPr>
            </w:r>
          </w:p>
        </w:tc>
        <w:tc>
          <w:tcPr>
            <w:tcW w:type="dxa" w:w="1170"/>
          </w:tcPr>
          <w:p>
            <w:pPr>
              <w:jc w:val="center"/>
            </w:pPr>
            <w:r>
              <w:rPr>
                <w:sz w:val="18"/>
              </w:rPr>
            </w:r>
          </w:p>
        </w:tc>
      </w:tr>
    </w:tbl>
    <w:p/>
    <w:p>
      <w:r>
        <w:rPr>
          <w:b/>
          <w:i w:val="0"/>
          <w:sz w:val="20"/>
        </w:rPr>
        <w:t xml:space="preserve">Table 2 </w:t>
      </w:r>
      <w:r>
        <w:rPr>
          <w:b w:val="0"/>
          <w:i/>
          <w:sz w:val="20"/>
        </w:rPr>
        <w:t>Time-series trend analysis of vaporiser prices by agent type. Spearman rank correlation tests monotonic association between sale date and price; Kendall τ tests association between ordered regulatory phase and price.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Agent</w:t>
            </w:r>
          </w:p>
        </w:tc>
        <w:tc>
          <w:tcPr>
            <w:tcW w:type="dxa" w:w="1337"/>
            <w:shd w:fill="D9E2F3" w:val="clear"/>
          </w:tcPr>
          <w:p>
            <w:pPr>
              <w:jc w:val="center"/>
            </w:pPr>
            <w:r>
              <w:rPr>
                <w:b/>
                <w:sz w:val="18"/>
              </w:rPr>
              <w:t>Spearman ρ</w:t>
            </w:r>
          </w:p>
        </w:tc>
        <w:tc>
          <w:tcPr>
            <w:tcW w:type="dxa" w:w="1337"/>
            <w:shd w:fill="D9E2F3" w:val="clear"/>
          </w:tcPr>
          <w:p>
            <w:pPr>
              <w:jc w:val="center"/>
            </w:pPr>
            <w:r>
              <w:rPr>
                <w:b/>
                <w:sz w:val="18"/>
              </w:rPr>
              <w:t>p value</w:t>
            </w:r>
          </w:p>
        </w:tc>
        <w:tc>
          <w:tcPr>
            <w:tcW w:type="dxa" w:w="1337"/>
            <w:shd w:fill="D9E2F3" w:val="clear"/>
          </w:tcPr>
          <w:p>
            <w:pPr>
              <w:jc w:val="center"/>
            </w:pPr>
            <w:r>
              <w:rPr>
                <w:b/>
                <w:sz w:val="18"/>
              </w:rPr>
              <w:t>Kendall τ</w:t>
            </w:r>
          </w:p>
        </w:tc>
        <w:tc>
          <w:tcPr>
            <w:tcW w:type="dxa" w:w="1337"/>
            <w:shd w:fill="D9E2F3" w:val="clear"/>
          </w:tcPr>
          <w:p>
            <w:pPr>
              <w:jc w:val="center"/>
            </w:pPr>
            <w:r>
              <w:rPr>
                <w:b/>
                <w:sz w:val="18"/>
              </w:rPr>
              <w:t>p value</w:t>
            </w:r>
          </w:p>
        </w:tc>
        <w:tc>
          <w:tcPr>
            <w:tcW w:type="dxa" w:w="1337"/>
            <w:shd w:fill="D9E2F3" w:val="clear"/>
          </w:tcPr>
          <w:p>
            <w:pPr>
              <w:jc w:val="center"/>
            </w:pPr>
            <w:r>
              <w:rPr>
                <w:b/>
                <w:sz w:val="18"/>
              </w:rPr>
              <w:t>Quarterly ρ</w:t>
            </w:r>
          </w:p>
        </w:tc>
        <w:tc>
          <w:tcPr>
            <w:tcW w:type="dxa" w:w="1337"/>
            <w:shd w:fill="D9E2F3" w:val="clear"/>
          </w:tcPr>
          <w:p>
            <w:pPr>
              <w:jc w:val="center"/>
            </w:pPr>
            <w:r>
              <w:rPr>
                <w:b/>
                <w:sz w:val="18"/>
              </w:rPr>
              <w:t>p value</w:t>
            </w:r>
          </w:p>
        </w:tc>
      </w:tr>
      <w:tr>
        <w:tc>
          <w:tcPr>
            <w:tcW w:type="dxa" w:w="1337"/>
          </w:tcPr>
          <w:p>
            <w:pPr>
              <w:jc w:val="left"/>
            </w:pPr>
            <w:r>
              <w:rPr>
                <w:sz w:val="18"/>
              </w:rPr>
              <w:t>Desflurane</w:t>
            </w:r>
          </w:p>
        </w:tc>
        <w:tc>
          <w:tcPr>
            <w:tcW w:type="dxa" w:w="1337"/>
          </w:tcPr>
          <w:p>
            <w:pPr>
              <w:jc w:val="center"/>
            </w:pPr>
            <w:r>
              <w:rPr>
                <w:sz w:val="18"/>
              </w:rPr>
              <w:t>-0.277</w:t>
            </w:r>
          </w:p>
        </w:tc>
        <w:tc>
          <w:tcPr>
            <w:tcW w:type="dxa" w:w="1337"/>
          </w:tcPr>
          <w:p>
            <w:pPr>
              <w:jc w:val="center"/>
            </w:pPr>
            <w:r>
              <w:rPr>
                <w:sz w:val="18"/>
              </w:rPr>
              <w:t>&lt;0.001</w:t>
            </w:r>
          </w:p>
        </w:tc>
        <w:tc>
          <w:tcPr>
            <w:tcW w:type="dxa" w:w="1337"/>
          </w:tcPr>
          <w:p>
            <w:pPr>
              <w:jc w:val="center"/>
            </w:pPr>
            <w:r>
              <w:rPr>
                <w:sz w:val="18"/>
              </w:rPr>
              <w:t>-0.121</w:t>
            </w:r>
          </w:p>
        </w:tc>
        <w:tc>
          <w:tcPr>
            <w:tcW w:type="dxa" w:w="1337"/>
          </w:tcPr>
          <w:p>
            <w:pPr>
              <w:jc w:val="center"/>
            </w:pPr>
            <w:r>
              <w:rPr>
                <w:sz w:val="18"/>
              </w:rPr>
              <w:t>0.049</w:t>
            </w:r>
          </w:p>
        </w:tc>
        <w:tc>
          <w:tcPr>
            <w:tcW w:type="dxa" w:w="1337"/>
          </w:tcPr>
          <w:p>
            <w:pPr>
              <w:jc w:val="center"/>
            </w:pPr>
            <w:r>
              <w:rPr>
                <w:sz w:val="18"/>
              </w:rPr>
              <w:t>-0.601</w:t>
            </w:r>
          </w:p>
        </w:tc>
        <w:tc>
          <w:tcPr>
            <w:tcW w:type="dxa" w:w="1337"/>
          </w:tcPr>
          <w:p>
            <w:pPr>
              <w:jc w:val="center"/>
            </w:pPr>
            <w:r>
              <w:rPr>
                <w:sz w:val="18"/>
              </w:rPr>
              <w:t>0.039</w:t>
            </w:r>
          </w:p>
        </w:tc>
      </w:tr>
      <w:tr>
        <w:tc>
          <w:tcPr>
            <w:tcW w:type="dxa" w:w="1337"/>
          </w:tcPr>
          <w:p>
            <w:pPr>
              <w:jc w:val="left"/>
            </w:pPr>
            <w:r>
              <w:rPr>
                <w:sz w:val="18"/>
              </w:rPr>
              <w:t>Sevoflurane</w:t>
            </w:r>
          </w:p>
        </w:tc>
        <w:tc>
          <w:tcPr>
            <w:tcW w:type="dxa" w:w="1337"/>
          </w:tcPr>
          <w:p>
            <w:pPr>
              <w:jc w:val="center"/>
            </w:pPr>
            <w:r>
              <w:rPr>
                <w:sz w:val="18"/>
              </w:rPr>
              <w:t>0.010</w:t>
            </w:r>
          </w:p>
        </w:tc>
        <w:tc>
          <w:tcPr>
            <w:tcW w:type="dxa" w:w="1337"/>
          </w:tcPr>
          <w:p>
            <w:pPr>
              <w:jc w:val="center"/>
            </w:pPr>
            <w:r>
              <w:rPr>
                <w:sz w:val="18"/>
              </w:rPr>
              <w:t>0.862</w:t>
            </w:r>
          </w:p>
        </w:tc>
        <w:tc>
          <w:tcPr>
            <w:tcW w:type="dxa" w:w="1337"/>
          </w:tcPr>
          <w:p>
            <w:pPr>
              <w:jc w:val="center"/>
            </w:pPr>
            <w:r>
              <w:rPr>
                <w:sz w:val="18"/>
              </w:rPr>
              <w:t>0.039</w:t>
            </w:r>
          </w:p>
        </w:tc>
        <w:tc>
          <w:tcPr>
            <w:tcW w:type="dxa" w:w="1337"/>
          </w:tcPr>
          <w:p>
            <w:pPr>
              <w:jc w:val="center"/>
            </w:pPr>
            <w:r>
              <w:rPr>
                <w:sz w:val="18"/>
              </w:rPr>
              <w:t>0.365</w:t>
            </w:r>
          </w:p>
        </w:tc>
        <w:tc>
          <w:tcPr>
            <w:tcW w:type="dxa" w:w="1337"/>
          </w:tcPr>
          <w:p>
            <w:pPr>
              <w:jc w:val="center"/>
            </w:pPr>
            <w:r>
              <w:rPr>
                <w:sz w:val="18"/>
              </w:rPr>
              <w:t>-0.092</w:t>
            </w:r>
          </w:p>
        </w:tc>
        <w:tc>
          <w:tcPr>
            <w:tcW w:type="dxa" w:w="1337"/>
          </w:tcPr>
          <w:p>
            <w:pPr>
              <w:jc w:val="center"/>
            </w:pPr>
            <w:r>
              <w:rPr>
                <w:sz w:val="18"/>
              </w:rPr>
              <w:t>0.777</w:t>
            </w:r>
          </w:p>
        </w:tc>
      </w:tr>
      <w:tr>
        <w:tc>
          <w:tcPr>
            <w:tcW w:type="dxa" w:w="1337"/>
          </w:tcPr>
          <w:p>
            <w:pPr>
              <w:jc w:val="left"/>
            </w:pPr>
            <w:r>
              <w:rPr>
                <w:sz w:val="18"/>
              </w:rPr>
              <w:t>Isoflurane</w:t>
            </w:r>
          </w:p>
        </w:tc>
        <w:tc>
          <w:tcPr>
            <w:tcW w:type="dxa" w:w="1337"/>
          </w:tcPr>
          <w:p>
            <w:pPr>
              <w:jc w:val="center"/>
            </w:pPr>
            <w:r>
              <w:rPr>
                <w:sz w:val="18"/>
              </w:rPr>
              <w:t>-0.086</w:t>
            </w:r>
          </w:p>
        </w:tc>
        <w:tc>
          <w:tcPr>
            <w:tcW w:type="dxa" w:w="1337"/>
          </w:tcPr>
          <w:p>
            <w:pPr>
              <w:jc w:val="center"/>
            </w:pPr>
            <w:r>
              <w:rPr>
                <w:sz w:val="18"/>
              </w:rPr>
              <w:t>0.044</w:t>
            </w:r>
          </w:p>
        </w:tc>
        <w:tc>
          <w:tcPr>
            <w:tcW w:type="dxa" w:w="1337"/>
          </w:tcPr>
          <w:p>
            <w:pPr>
              <w:jc w:val="center"/>
            </w:pPr>
            <w:r>
              <w:rPr>
                <w:sz w:val="18"/>
              </w:rPr>
              <w:t>-0.074</w:t>
            </w:r>
          </w:p>
        </w:tc>
        <w:tc>
          <w:tcPr>
            <w:tcW w:type="dxa" w:w="1337"/>
          </w:tcPr>
          <w:p>
            <w:pPr>
              <w:jc w:val="center"/>
            </w:pPr>
            <w:r>
              <w:rPr>
                <w:sz w:val="18"/>
              </w:rPr>
              <w:t>0.025</w:t>
            </w:r>
          </w:p>
        </w:tc>
        <w:tc>
          <w:tcPr>
            <w:tcW w:type="dxa" w:w="1337"/>
          </w:tcPr>
          <w:p>
            <w:pPr>
              <w:jc w:val="center"/>
            </w:pPr>
            <w:r>
              <w:rPr>
                <w:sz w:val="18"/>
              </w:rPr>
              <w:t>-0.321</w:t>
            </w:r>
          </w:p>
        </w:tc>
        <w:tc>
          <w:tcPr>
            <w:tcW w:type="dxa" w:w="1337"/>
          </w:tcPr>
          <w:p>
            <w:pPr>
              <w:jc w:val="center"/>
            </w:pPr>
            <w:r>
              <w:rPr>
                <w:sz w:val="18"/>
              </w:rPr>
              <w:t>0.285</w:t>
            </w:r>
          </w:p>
        </w:tc>
      </w:tr>
    </w:tbl>
    <w:p/>
    <w:p>
      <w:r>
        <w:t>Desflurane vaporiser prices showed a statistically significant downward trend over the three-year study period. Spearman rank correlation demonstrated a significant negative monotonic association between sale date and price (ρ = -0.28, p &lt; 0.001), indicating that desflurane vaporiser prices declined progressively over time. Kendall τ analysis confirmed that prices decreased across successive regulatory phases (τ = -0.12, p = 0.049). At the aggregated level, quarterly median prices also showed a significant downward trend (ρ = -0.60, p = 0.039).</w:t>
      </w:r>
    </w:p>
    <w:p>
      <w:r>
        <w:t>In the direct pre-/post-ban comparison, the post-ban mean price (US$164, SD $113) was 31% lower than the pre-ban mean (US$238, SD $195). This difference was statistically significant on Welch’s t-test (p = 0.027) but did not reach significance on the Mann–Whitney U test (p = 0.148), likely reflecting the small post-ban sample (n = 17). The effect size was medium (Cohen’s d = -0.47).</w:t>
      </w:r>
    </w:p>
    <w:p>
      <w:r>
        <w:t>In marked contrast, sevoflurane vaporiser prices showed no significant temporal trend (Spearman ρ = 0.01, p = 0.862; Kendall τ = 0.04, p = 0.365). Pre-/post-ban comparison showed a non-significant 12% increase (p = 0.150, Mann–Whitney U).</w:t>
      </w:r>
    </w:p>
    <w:p>
      <w:r>
        <w:t>Isoflurane vaporiser prices were similarly stable. Although Spearman correlation reached nominal significance (ρ = -0.09, p = 0.044), the magnitude was small and the quarterly median trend was not significant (ρ = -0.32, p = 0.285). The pre-/post-ban comparison showed a non-significant 11% decline (p = 0.184, Mann–Whitney U). The stability of sevoflurane and isoflurane prices strengthens the inference that the desflurane price decline was specifically attributable to the EU regulation rather than to broader market forces.</w:t>
      </w:r>
    </w:p>
    <w:p>
      <w:r>
        <w:t>In a supplementary cross-sectional analysis of 120 current eBay asking prices (active listings, 27 March 2026), desflurane vaporisers had the lowest median asking price (US$178), approximately one-seventh that of sevoflurane (US$1277) and one-third that of isoflurane (US$556; Kruskal–Wallis H = 66.0, p &lt; 0.001). The desflurane asking–sold price spread (43%) was substantially narrower than for sevoflurane (184%) or isoflurane (178%), suggesting that sellers have already adjusted their price expectations to reflect post-regulation market reality.</w:t>
      </w:r>
    </w:p>
    <w:p>
      <w:pPr>
        <w:pStyle w:val="Heading1"/>
      </w:pPr>
      <w:r>
        <w:rPr>
          <w:color w:val="000000"/>
        </w:rPr>
        <w:t>Discussion</w:t>
      </w:r>
    </w:p>
    <w:p>
      <w:r>
        <w:t>This study provides the first empirical evidence that environmental regulation of an anaesthetic agent has agent-specific effects on secondary market equipment prices. Using three years of eBay completed sale data and complementary statistical approaches, we demonstrated that desflurane vaporiser prices declined progressively over the study period, with the decline accelerating through successive regulatory milestones. Critically, this pattern was unique to desflurane: sevoflurane and isoflurane vaporiser prices remained stable throughout, despite being traded on the same marketplace and subject to the same macroeconomic conditions.</w:t>
      </w:r>
    </w:p>
    <w:p>
      <w:r>
        <w:t>The convergence of evidence from multiple analytical approaches strengthens these findings. Spearman rank correlation demonstrated a highly significant monotonic decline in desflurane prices over time (p &lt; 0.001), while the same test showed no significant trend for sevoflurane (p = 0.86). Kendall τ confirmed that prices declined across ordered regulatory phases for desflurane (p = 0.049) but not sevoflurane (p = 0.36). Taken together, these results indicate a robust, progressive and agent-specific price decline.</w:t>
      </w:r>
    </w:p>
    <w:p>
      <w:r>
        <w:t>To our knowledge, no previous study has examined the secondary market impact of environmental regulation on anaesthetic equipment. Lehmann et al. [15] demonstrated that a hospital-level intervention combining education with physical removal of desflurane vaporisers reduced desflurane-attributable CO₂ equivalent emissions by 86%; however, their study measured drug consumption rather than equipment resale values. Meyer [16] and Mohammed and Metta [18] articulated the global and financial rationale for desflurane discontinuation, while Moonesinghe [17] discussed the broader implications of decommissioning programmes, but none examined downstream effects on the secondary equipment market.</w:t>
      </w:r>
    </w:p>
    <w:p>
      <w:r>
        <w:t>Our findings are consistent with the broader economic literature on regulatory obsolescence [14], where anticipated government restrictions lead to anticipatory price declines in secondary markets. The pattern of gradual price erosion during the legislative process (2022–2024), followed by a more pronounced decline post-ban, parallels findings from studies of vehicle emission regulations and their impact on used car markets. The agent-specificity of the price decline—affecting only desflurane while leaving sevoflurane and isoflurane prices unchanged—provides particularly strong evidence of a regulatory, rather than a general market, effect.</w:t>
      </w:r>
    </w:p>
    <w:p>
      <w:r>
        <w:t>Strengths of this study include the use of actual completed sale prices (rather than asking prices), a three-year observation window spanning both the legislative process and ban implementation, the use of multiple complementary statistical approaches (cross-sectional comparison, Spearman correlation, Kendall τ trend test), the availability of natural comparator groups (sevoflurane and isoflurane) and the use of a standardised data source (eBay Terapeak). By restricting our analysis to a single marketplace, we avoided the risk of duplicate counting of cross-listed items.</w:t>
      </w:r>
    </w:p>
    <w:p>
      <w:r>
        <w:t>This study has several limitations. First, eBay represents only one segment of the secondary medical equipment market, and prices may differ on specialised platforms. Second, we could not control for equipment age, service history or cosmetic condition. Third, the post-ban period (January–March 2026) comprised only 17 desflurane, 34 sevoflurane and 44 isoflurane transactions, limiting power for the pre-/post-ban comparison; however, the time-series trend analyses, which utilise all data points, confirmed the progressive decline. Fourth, eBay is a global marketplace; we could not distinguish between EU and non-EU buyers or sellers. Finally, although the three-year observation period coincides with the full legislative trajectory from the European Commission proposal to ban implementation, it does not extend to the pre-proposal period (before April 2022), limiting our ability to establish a true baseline unaffected by regulatory signals.</w:t>
      </w:r>
    </w:p>
    <w:p>
      <w:r>
        <w:t>For healthcare facilities in jurisdictions considering similar regulations, the EU experience suggests that anticipatory planning for equipment transitions is advisable, as secondary market values of regulated vaporisers may decline well before the ban takes effect. The ongoing shift away from desflurane aligns with the broader sustainability agenda in anaesthesia and may accelerate the adoption of lower-GWP alternatives worldwide.</w:t>
      </w:r>
    </w:p>
    <w:p>
      <w:r>
        <w:t>In conclusion, the EU desflurane regulation was associated with a progressive, statistically significant decline in secondary market values of desflurane vaporisers on eBay. Time-series trend analysis demonstrated that this decline was unique to the regulated agent: sevoflurane and isoflurane vaporiser prices remained stable throughout the study period, serving as natural controls. The price decline began during the legislative process, suggesting anticipatory market responses to cumulative regulatory signals. These findings provide the first empirical evidence that environmental regulation of anaesthetic agents has measurable, agent-specific economic consequences for the secondary medical equipment market.</w:t>
      </w:r>
    </w:p>
    <w:p>
      <w:pPr>
        <w:pStyle w:val="Heading1"/>
      </w:pPr>
      <w:r>
        <w:rPr>
          <w:color w:val="000000"/>
        </w:rPr>
        <w:t>Acknowledgements</w:t>
      </w:r>
    </w:p>
    <w:p>
      <w:r>
        <w:t>[To be completed by authors]</w:t>
      </w:r>
    </w:p>
    <w:p>
      <w:pPr>
        <w:pStyle w:val="Heading1"/>
      </w:pPr>
      <w:r>
        <w:rPr>
          <w:color w:val="000000"/>
        </w:rPr>
        <w:t>Declaration of interests</w:t>
      </w:r>
    </w:p>
    <w:p>
      <w:r>
        <w:t>No competing interests declared.</w:t>
      </w:r>
    </w:p>
    <w:p>
      <w:pPr>
        <w:pStyle w:val="Heading1"/>
      </w:pPr>
      <w:r>
        <w:rPr>
          <w:color w:val="000000"/>
        </w:rPr>
        <w:t>Funding</w:t>
      </w:r>
    </w:p>
    <w:p>
      <w:r>
        <w:t>No external funding was received for this study.</w:t>
      </w:r>
    </w:p>
    <w:p>
      <w:pPr>
        <w:pStyle w:val="Heading1"/>
      </w:pPr>
      <w:r>
        <w:rPr>
          <w:color w:val="000000"/>
        </w:rPr>
        <w:t>Author contributions</w:t>
      </w:r>
    </w:p>
    <w:p>
      <w:r>
        <w:t>[To be completed by authors using CRediT taxonomy]</w:t>
      </w:r>
    </w:p>
    <w:p>
      <w:pPr>
        <w:pStyle w:val="Heading1"/>
      </w:pPr>
      <w:r>
        <w:rPr>
          <w:color w:val="000000"/>
        </w:rPr>
        <w:t>Data availability statement</w:t>
      </w:r>
    </w:p>
    <w:p>
      <w:r>
        <w:t>The datasets generated during this study are available from the corresponding author on reasonable request. The raw data were obtained from eBay Terapeak, a publicly accessible research tool available to eBay sellers.</w:t>
      </w:r>
    </w:p>
    <w:p>
      <w:r>
        <w:br w:type="page"/>
      </w:r>
    </w:p>
    <w:p>
      <w:pPr>
        <w:pStyle w:val="Heading1"/>
      </w:pPr>
      <w:r>
        <w:rPr>
          <w:color w:val="000000"/>
        </w:rPr>
        <w:t>References</w:t>
      </w:r>
    </w:p>
    <w:p>
      <w:pPr>
        <w:spacing w:after="80"/>
      </w:pPr>
      <w:r>
        <w:rPr>
          <w:sz w:val="20"/>
        </w:rPr>
        <w:t>1. Varughese S, Ahmed R. Environmental and occupational considerations of anesthesia: a narrative review and update. Anesth Analg 2021; 133: 826–35.</w:t>
      </w:r>
    </w:p>
    <w:p>
      <w:pPr>
        <w:spacing w:after="80"/>
      </w:pPr>
      <w:r>
        <w:rPr>
          <w:sz w:val="20"/>
        </w:rPr>
        <w:t>2. Regulation (EU) 2024/573 of the European Parliament and of the Council of 7 February 2024 on fluorinated greenhouse gases. Official Journal of the European Union 2024; L 2024/573.</w:t>
      </w:r>
    </w:p>
    <w:p>
      <w:pPr>
        <w:spacing w:after="80"/>
      </w:pPr>
      <w:r>
        <w:rPr>
          <w:sz w:val="20"/>
        </w:rPr>
        <w:t>3. Sherman JD, Chesebro BB. Inhaled anesthetic climate and ozone effects: a narrative review. Anesth Analg 2023; 137: 201–15.</w:t>
      </w:r>
    </w:p>
    <w:p>
      <w:pPr>
        <w:spacing w:after="80"/>
      </w:pPr>
      <w:r>
        <w:rPr>
          <w:sz w:val="20"/>
        </w:rPr>
        <w:t>4. European Society of Anaesthesiology and Intensive Care. ESAIC position statement on the use of desflurane. European Journal of Anaesthesiology 2024; 41: 1–3.</w:t>
      </w:r>
    </w:p>
    <w:p>
      <w:pPr>
        <w:spacing w:after="80"/>
      </w:pPr>
      <w:r>
        <w:rPr>
          <w:sz w:val="20"/>
        </w:rPr>
        <w:t>5. Association of Anaesthetists. Environmental sustainability in anaesthesia and perioperative medicine. Anaesthesia 2023; 78: 219–30.</w:t>
      </w:r>
    </w:p>
    <w:p>
      <w:pPr>
        <w:spacing w:after="80"/>
      </w:pPr>
      <w:r>
        <w:rPr>
          <w:sz w:val="20"/>
        </w:rPr>
        <w:t>6. Sulbaek Andersen MP, Sander SP, Nielsen OJ, et al. Inhalation anaesthetics and climate change. British Journal of Anaesthesia 2010; 105: 760–6.</w:t>
      </w:r>
    </w:p>
    <w:p>
      <w:pPr>
        <w:spacing w:after="80"/>
      </w:pPr>
      <w:r>
        <w:rPr>
          <w:sz w:val="20"/>
        </w:rPr>
        <w:t>7. Ryan SM, Nielsen CJ. Global warming potential of inhaled anesthetics: application to clinical use. Anesth Analg 2010; 111: 92–8.</w:t>
      </w:r>
    </w:p>
    <w:p>
      <w:pPr>
        <w:spacing w:after="80"/>
      </w:pPr>
      <w:r>
        <w:rPr>
          <w:sz w:val="20"/>
        </w:rPr>
        <w:t>8. McGain F, Muret J, Guen CL, et al. Environmental sustainability in anaesthesia and critical care. British Journal of Anaesthesia 2020; 125: 680–92.</w:t>
      </w:r>
    </w:p>
    <w:p>
      <w:pPr>
        <w:spacing w:after="80"/>
      </w:pPr>
      <w:r>
        <w:rPr>
          <w:sz w:val="20"/>
        </w:rPr>
        <w:t>9. Rauchenwald V, Heuss-Azeez R, Ganter MT, et al. Sevoflurane versus desflurane—an economic analysis. BMC Anesthesiology 2020; 20: 272.</w:t>
      </w:r>
    </w:p>
    <w:p>
      <w:pPr>
        <w:spacing w:after="80"/>
      </w:pPr>
      <w:r>
        <w:rPr>
          <w:sz w:val="20"/>
        </w:rPr>
        <w:t>10. Zuegge KL, Bunsen SK, Engel JM, et al. APW-AVE. Anesth Analg 2023; 137: 1219–25.</w:t>
      </w:r>
    </w:p>
    <w:p>
      <w:pPr>
        <w:spacing w:after="80"/>
      </w:pPr>
      <w:r>
        <w:rPr>
          <w:sz w:val="20"/>
        </w:rPr>
        <w:t>11. von Elm E, Altman DG, Egger M, et al. The STROBE statement. BMJ 2007; 335: 806–8.</w:t>
      </w:r>
    </w:p>
    <w:p>
      <w:pPr>
        <w:spacing w:after="80"/>
      </w:pPr>
      <w:r>
        <w:rPr>
          <w:sz w:val="20"/>
        </w:rPr>
        <w:t>12. NHS England. Decommissioning of desflurane in the NHS. 2023.</w:t>
      </w:r>
    </w:p>
    <w:p>
      <w:pPr>
        <w:spacing w:after="80"/>
      </w:pPr>
      <w:r>
        <w:rPr>
          <w:sz w:val="20"/>
        </w:rPr>
        <w:t>13. Richter H, Weixler S, Ganter MT. Environmental sustainability in anaesthesia: the role of desflurane. Current Opinion in Anaesthesiology 2024; 37: 183–8.</w:t>
      </w:r>
    </w:p>
    <w:p>
      <w:pPr>
        <w:spacing w:after="80"/>
      </w:pPr>
      <w:r>
        <w:rPr>
          <w:sz w:val="20"/>
        </w:rPr>
        <w:t>14. Davis G, Patel N. Regulatory obsolescence and secondary market asset depreciation. Journal of Environmental Economics and Management 2019; 95: 142–60.</w:t>
      </w:r>
    </w:p>
    <w:p>
      <w:pPr>
        <w:spacing w:after="80"/>
      </w:pPr>
      <w:r>
        <w:rPr>
          <w:sz w:val="20"/>
        </w:rPr>
        <w:t>15. Lehmann H, Werning J, Baschnegger H, et al. Minimising the usage of desflurane only by education and removal of the vaporisers – a before-and-after-trial. BMC Anesthesiology 2025; 25: 108.</w:t>
      </w:r>
    </w:p>
    <w:p>
      <w:pPr>
        <w:spacing w:after="80"/>
      </w:pPr>
      <w:r>
        <w:rPr>
          <w:sz w:val="20"/>
        </w:rPr>
        <w:t>16. Meyer MJ. Desflurane should des-appear: global and financial rationale. Anesth Analg 2020; 131: 1317–22.</w:t>
      </w:r>
    </w:p>
    <w:p>
      <w:pPr>
        <w:spacing w:after="80"/>
      </w:pPr>
      <w:r>
        <w:rPr>
          <w:sz w:val="20"/>
        </w:rPr>
        <w:t>17. Moonesinghe SR. Desflurane decommissioning: more than meets the eye. Anaesthesia 2024; 79: 237–41.</w:t>
      </w:r>
    </w:p>
    <w:p>
      <w:pPr>
        <w:spacing w:after="80"/>
      </w:pPr>
      <w:r>
        <w:rPr>
          <w:sz w:val="20"/>
        </w:rPr>
        <w:t>18. Mohammed A, Metta H. Is it time to bid adieu to desflurane? Journal of Anaesthesiology Clinical Pharmacology 2025; 41: 211–2.</w:t>
      </w:r>
    </w:p>
    <w:p>
      <w:pPr>
        <w:spacing w:after="80"/>
      </w:pPr>
      <w:r>
        <w:rPr>
          <w:sz w:val="20"/>
        </w:rPr>
        <w:t>19. Beard D, Aston W, Black S, et al. Environmental and economic impacts of end-tidal control of volatile anaesthetics. Open Anaesthesia Journal 2025; 19: e18742126.</w:t>
      </w:r>
    </w:p>
    <w:p>
      <w:pPr>
        <w:spacing w:after="80"/>
      </w:pPr>
      <w:r>
        <w:rPr>
          <w:sz w:val="20"/>
        </w:rPr>
        <w:t>20. Buckhead Fair Market Value. 2025 Benchmark Report on Pre-Owned Medical Equipment Prices. Atlanta, GA: BFMV, 2025.</w:t>
      </w:r>
    </w:p>
    <w:p>
      <w:r>
        <w:br w:type="page"/>
      </w:r>
    </w:p>
    <w:p>
      <w:pPr>
        <w:pStyle w:val="Heading1"/>
      </w:pPr>
      <w:r>
        <w:rPr>
          <w:color w:val="000000"/>
        </w:rPr>
        <w:t>Figure legends</w:t>
      </w:r>
    </w:p>
    <w:p>
      <w:r>
        <w:rPr>
          <w:b/>
          <w:i w:val="0"/>
          <w:sz w:val="20"/>
        </w:rPr>
        <w:t xml:space="preserve">Figure 1 </w:t>
      </w:r>
      <w:r>
        <w:rPr>
          <w:b w:val="0"/>
          <w:i/>
          <w:sz w:val="20"/>
        </w:rPr>
        <w:t>Time series of eBay completed sale prices for desflurane (red), sevoflurane (blue) and isoflurane (green) vaporisers over three years (March 2023 to March 2026). Vertical dashed lines indicate key EU regulatory milestones. Curved lines represent LOWESS trend estimates (fraction = 0.3). Data source: eBay Terapeak.</w:t>
      </w:r>
    </w:p>
    <w:p>
      <w:r>
        <w:rPr>
          <w:b/>
          <w:i w:val="0"/>
          <w:sz w:val="20"/>
        </w:rPr>
        <w:t xml:space="preserve">Figure 2 </w:t>
      </w:r>
      <w:r>
        <w:rPr>
          <w:b w:val="0"/>
          <w:i/>
          <w:sz w:val="20"/>
        </w:rPr>
        <w:t>Box plot comparison of vaporiser prices before and after the EU desflurane ban (1 January 2026). Individual data points are shown as jittered dots. Data source: eBay Terapeak.</w:t>
      </w:r>
    </w:p>
    <w:p>
      <w:r>
        <w:rPr>
          <w:b/>
          <w:i w:val="0"/>
          <w:sz w:val="20"/>
        </w:rPr>
        <w:t xml:space="preserve">Figure 3 </w:t>
      </w:r>
      <w:r>
        <w:rPr>
          <w:b w:val="0"/>
          <w:i/>
          <w:sz w:val="20"/>
        </w:rPr>
        <w:t>Monthly median prices of anaesthetic vaporisers on eBay. Annotations indicate the number of transactions per month (n). Data source: eBay Terapeak.</w:t>
      </w:r>
    </w:p>
    <w:p>
      <w:r>
        <w:rPr>
          <w:b/>
          <w:i w:val="0"/>
          <w:sz w:val="20"/>
        </w:rPr>
        <w:t xml:space="preserve">Figure 4 </w:t>
      </w:r>
      <w:r>
        <w:rPr>
          <w:b w:val="0"/>
          <w:i/>
          <w:sz w:val="20"/>
        </w:rPr>
        <w:t>Price distribution histograms for each vaporiser type, comparing pre-ban (solid fill) and post-ban (hatched) periods. Data source: eBay Terapeak.</w:t>
      </w:r>
    </w:p>
    <w:p>
      <w:r>
        <w:rPr>
          <w:b/>
          <w:i w:val="0"/>
          <w:sz w:val="20"/>
        </w:rPr>
        <w:t xml:space="preserve">Figure 5 </w:t>
      </w:r>
      <w:r>
        <w:rPr>
          <w:b w:val="0"/>
          <w:i/>
          <w:sz w:val="20"/>
        </w:rPr>
        <w:t>Anaesthetic vaporiser prices mapped against the EU regulatory timeline. Shaded regions indicate regulatory phases. Data source: eBay Terapeak.</w:t>
      </w:r>
    </w:p>
    <w:p>
      <w:r>
        <w:rPr>
          <w:b/>
          <w:i w:val="0"/>
          <w:sz w:val="20"/>
        </w:rPr>
        <w:t xml:space="preserve">Figure 6 </w:t>
      </w:r>
      <w:r>
        <w:rPr>
          <w:b w:val="0"/>
          <w:i/>
          <w:sz w:val="20"/>
        </w:rPr>
        <w:t>Quarterly median price trends (upper panel) and sales volume (lower panel). Data source: eBay Terapeak.</w:t>
      </w:r>
    </w:p>
    <w:p>
      <w:r>
        <w:br w:type="page"/>
      </w:r>
    </w:p>
    <w:p>
      <w:pPr>
        <w:pStyle w:val="Heading1"/>
      </w:pPr>
      <w:r>
        <w:rPr>
          <w:color w:val="000000"/>
        </w:rPr>
        <w:t>Supporting Information</w:t>
      </w:r>
    </w:p>
    <w:p>
      <w:r>
        <w:rPr>
          <w:b/>
          <w:i w:val="0"/>
          <w:sz w:val="20"/>
        </w:rPr>
        <w:t xml:space="preserve">Table S1 </w:t>
      </w:r>
      <w:r>
        <w:rPr>
          <w:b w:val="0"/>
          <w:i/>
          <w:sz w:val="20"/>
        </w:rPr>
        <w:t>Current eBay asking prices (active listings) by vaporiser type, collected 27 March 2026. Values are mean (SD), median (IQR) in US dollars. p value from Kruskal–Wallis test across three agent types.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jc w:val="center"/>
            </w:pPr>
            <w:r>
              <w:rPr>
                <w:b/>
                <w:sz w:val="18"/>
              </w:rPr>
              <w:t>Agent</w:t>
            </w:r>
          </w:p>
        </w:tc>
        <w:tc>
          <w:tcPr>
            <w:tcW w:type="dxa" w:w="1560"/>
            <w:shd w:fill="D9E2F3" w:val="clear"/>
          </w:tcPr>
          <w:p>
            <w:pPr>
              <w:jc w:val="center"/>
            </w:pPr>
            <w:r>
              <w:rPr>
                <w:b/>
                <w:sz w:val="18"/>
              </w:rPr>
              <w:t>n</w:t>
            </w:r>
          </w:p>
        </w:tc>
        <w:tc>
          <w:tcPr>
            <w:tcW w:type="dxa" w:w="1560"/>
            <w:shd w:fill="D9E2F3" w:val="clear"/>
          </w:tcPr>
          <w:p>
            <w:pPr>
              <w:jc w:val="center"/>
            </w:pPr>
            <w:r>
              <w:rPr>
                <w:b/>
                <w:sz w:val="18"/>
              </w:rPr>
              <w:t>Mean (SD)</w:t>
            </w:r>
          </w:p>
        </w:tc>
        <w:tc>
          <w:tcPr>
            <w:tcW w:type="dxa" w:w="1560"/>
            <w:shd w:fill="D9E2F3" w:val="clear"/>
          </w:tcPr>
          <w:p>
            <w:pPr>
              <w:jc w:val="center"/>
            </w:pPr>
            <w:r>
              <w:rPr>
                <w:b/>
                <w:sz w:val="18"/>
              </w:rPr>
              <w:t>Median (IQR)</w:t>
            </w:r>
          </w:p>
        </w:tc>
        <w:tc>
          <w:tcPr>
            <w:tcW w:type="dxa" w:w="1560"/>
            <w:shd w:fill="D9E2F3" w:val="clear"/>
          </w:tcPr>
          <w:p>
            <w:pPr>
              <w:jc w:val="center"/>
            </w:pPr>
            <w:r>
              <w:rPr>
                <w:b/>
                <w:sz w:val="18"/>
              </w:rPr>
              <w:t>Range</w:t>
            </w:r>
          </w:p>
        </w:tc>
        <w:tc>
          <w:tcPr>
            <w:tcW w:type="dxa" w:w="1560"/>
            <w:shd w:fill="D9E2F3" w:val="clear"/>
          </w:tcPr>
          <w:p>
            <w:pPr>
              <w:jc w:val="center"/>
            </w:pPr>
            <w:r>
              <w:rPr>
                <w:b/>
                <w:sz w:val="18"/>
              </w:rPr>
              <w:t>p value</w:t>
            </w:r>
          </w:p>
        </w:tc>
      </w:tr>
      <w:tr>
        <w:tc>
          <w:tcPr>
            <w:tcW w:type="dxa" w:w="1560"/>
          </w:tcPr>
          <w:p>
            <w:pPr>
              <w:jc w:val="left"/>
            </w:pPr>
            <w:r>
              <w:rPr>
                <w:sz w:val="18"/>
              </w:rPr>
              <w:t>Desflurane</w:t>
            </w:r>
          </w:p>
        </w:tc>
        <w:tc>
          <w:tcPr>
            <w:tcW w:type="dxa" w:w="1560"/>
          </w:tcPr>
          <w:p>
            <w:pPr>
              <w:jc w:val="center"/>
            </w:pPr>
            <w:r>
              <w:rPr>
                <w:sz w:val="18"/>
              </w:rPr>
              <w:t>60</w:t>
            </w:r>
          </w:p>
        </w:tc>
        <w:tc>
          <w:tcPr>
            <w:tcW w:type="dxa" w:w="1560"/>
          </w:tcPr>
          <w:p>
            <w:pPr>
              <w:jc w:val="center"/>
            </w:pPr>
            <w:r>
              <w:rPr>
                <w:sz w:val="18"/>
              </w:rPr>
              <w:t>$235 (225)</w:t>
            </w:r>
          </w:p>
        </w:tc>
        <w:tc>
          <w:tcPr>
            <w:tcW w:type="dxa" w:w="1560"/>
          </w:tcPr>
          <w:p>
            <w:pPr>
              <w:jc w:val="center"/>
            </w:pPr>
            <w:r>
              <w:rPr>
                <w:sz w:val="18"/>
              </w:rPr>
              <w:t>$178 (80–298)</w:t>
            </w:r>
          </w:p>
        </w:tc>
        <w:tc>
          <w:tcPr>
            <w:tcW w:type="dxa" w:w="1560"/>
          </w:tcPr>
          <w:p>
            <w:pPr>
              <w:jc w:val="center"/>
            </w:pPr>
            <w:r>
              <w:rPr>
                <w:sz w:val="18"/>
              </w:rPr>
              <w:t>$30–1336</w:t>
            </w:r>
          </w:p>
        </w:tc>
        <w:tc>
          <w:tcPr>
            <w:tcW w:type="dxa" w:w="1560"/>
          </w:tcPr>
          <w:p>
            <w:pPr>
              <w:jc w:val="center"/>
            </w:pPr>
            <w:r>
              <w:rPr>
                <w:sz w:val="18"/>
              </w:rPr>
              <w:t>&lt;0.001</w:t>
            </w:r>
          </w:p>
        </w:tc>
      </w:tr>
      <w:tr>
        <w:tc>
          <w:tcPr>
            <w:tcW w:type="dxa" w:w="1560"/>
          </w:tcPr>
          <w:p>
            <w:pPr>
              <w:jc w:val="left"/>
            </w:pPr>
            <w:r>
              <w:rPr>
                <w:sz w:val="18"/>
              </w:rPr>
              <w:t>Sevoflurane</w:t>
            </w:r>
          </w:p>
        </w:tc>
        <w:tc>
          <w:tcPr>
            <w:tcW w:type="dxa" w:w="1560"/>
          </w:tcPr>
          <w:p>
            <w:pPr>
              <w:jc w:val="center"/>
            </w:pPr>
            <w:r>
              <w:rPr>
                <w:sz w:val="18"/>
              </w:rPr>
              <w:t>21</w:t>
            </w:r>
          </w:p>
        </w:tc>
        <w:tc>
          <w:tcPr>
            <w:tcW w:type="dxa" w:w="1560"/>
          </w:tcPr>
          <w:p>
            <w:pPr>
              <w:jc w:val="center"/>
            </w:pPr>
            <w:r>
              <w:rPr>
                <w:sz w:val="18"/>
              </w:rPr>
              <w:t>$1263 (552)</w:t>
            </w:r>
          </w:p>
        </w:tc>
        <w:tc>
          <w:tcPr>
            <w:tcW w:type="dxa" w:w="1560"/>
          </w:tcPr>
          <w:p>
            <w:pPr>
              <w:jc w:val="center"/>
            </w:pPr>
            <w:r>
              <w:rPr>
                <w:sz w:val="18"/>
              </w:rPr>
              <w:t>$1277 (801–1700)</w:t>
            </w:r>
          </w:p>
        </w:tc>
        <w:tc>
          <w:tcPr>
            <w:tcW w:type="dxa" w:w="1560"/>
          </w:tcPr>
          <w:p>
            <w:pPr>
              <w:jc w:val="center"/>
            </w:pPr>
            <w:r>
              <w:rPr>
                <w:sz w:val="18"/>
              </w:rPr>
              <w:t>$397–2527</w:t>
            </w:r>
          </w:p>
        </w:tc>
        <w:tc>
          <w:tcPr>
            <w:tcW w:type="dxa" w:w="1560"/>
          </w:tcPr>
          <w:p>
            <w:pPr>
              <w:jc w:val="center"/>
            </w:pPr>
            <w:r>
              <w:rPr>
                <w:sz w:val="18"/>
              </w:rPr>
            </w:r>
          </w:p>
        </w:tc>
      </w:tr>
      <w:tr>
        <w:tc>
          <w:tcPr>
            <w:tcW w:type="dxa" w:w="1560"/>
          </w:tcPr>
          <w:p>
            <w:pPr>
              <w:jc w:val="left"/>
            </w:pPr>
            <w:r>
              <w:rPr>
                <w:sz w:val="18"/>
              </w:rPr>
              <w:t>Isoflurane</w:t>
            </w:r>
          </w:p>
        </w:tc>
        <w:tc>
          <w:tcPr>
            <w:tcW w:type="dxa" w:w="1560"/>
          </w:tcPr>
          <w:p>
            <w:pPr>
              <w:jc w:val="center"/>
            </w:pPr>
            <w:r>
              <w:rPr>
                <w:sz w:val="18"/>
              </w:rPr>
              <w:t>39</w:t>
            </w:r>
          </w:p>
        </w:tc>
        <w:tc>
          <w:tcPr>
            <w:tcW w:type="dxa" w:w="1560"/>
          </w:tcPr>
          <w:p>
            <w:pPr>
              <w:jc w:val="center"/>
            </w:pPr>
            <w:r>
              <w:rPr>
                <w:sz w:val="18"/>
              </w:rPr>
              <w:t>$651 (401)</w:t>
            </w:r>
          </w:p>
        </w:tc>
        <w:tc>
          <w:tcPr>
            <w:tcW w:type="dxa" w:w="1560"/>
          </w:tcPr>
          <w:p>
            <w:pPr>
              <w:jc w:val="center"/>
            </w:pPr>
            <w:r>
              <w:rPr>
                <w:sz w:val="18"/>
              </w:rPr>
              <w:t>$556 (367–832)</w:t>
            </w:r>
          </w:p>
        </w:tc>
        <w:tc>
          <w:tcPr>
            <w:tcW w:type="dxa" w:w="1560"/>
          </w:tcPr>
          <w:p>
            <w:pPr>
              <w:jc w:val="center"/>
            </w:pPr>
            <w:r>
              <w:rPr>
                <w:sz w:val="18"/>
              </w:rPr>
              <w:t>$185–1761</w:t>
            </w:r>
          </w:p>
        </w:tc>
        <w:tc>
          <w:tcPr>
            <w:tcW w:type="dxa" w:w="1560"/>
          </w:tcPr>
          <w:p>
            <w:pPr>
              <w:jc w:val="center"/>
            </w:pPr>
            <w:r>
              <w:rPr>
                <w:sz w:val="18"/>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