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EUデスフルラン規制が麻酔気化器の中古市場価格に与える影響：eBay落札データの横断的時系列分析</w:t>
      </w:r>
    </w:p>
    <w:p/>
    <w:p>
      <w:pPr>
        <w:jc w:val="center"/>
      </w:pPr>
      <w:r>
        <w:rPr>
          <w:b w:val="0"/>
          <w:i/>
          <w:sz w:val="22"/>
        </w:rPr>
        <w:t>[著者名を記入]</w:t>
      </w:r>
    </w:p>
    <w:p>
      <w:pPr>
        <w:jc w:val="center"/>
      </w:pPr>
      <w:r>
        <w:rPr>
          <w:b w:val="0"/>
          <w:i/>
          <w:sz w:val="20"/>
        </w:rPr>
        <w:t>[所属機関を記入]</w:t>
      </w:r>
    </w:p>
    <w:p/>
    <w:p>
      <w:r>
        <w:rPr>
          <w:b/>
          <w:i w:val="0"/>
          <w:sz w:val="20"/>
        </w:rPr>
        <w:t xml:space="preserve">責任著者: </w:t>
      </w:r>
      <w:r>
        <w:rPr>
          <w:b w:val="0"/>
          <w:i w:val="0"/>
          <w:sz w:val="20"/>
        </w:rPr>
        <w:t>[氏名・メールアドレス・住所を記入]</w:t>
      </w:r>
    </w:p>
    <w:p>
      <w:r>
        <w:rPr>
          <w:b/>
          <w:i w:val="0"/>
          <w:sz w:val="20"/>
        </w:rPr>
        <w:t xml:space="preserve">Twitter/X: </w:t>
      </w:r>
      <w:r>
        <w:rPr>
          <w:b w:val="0"/>
          <w:i w:val="0"/>
          <w:sz w:val="20"/>
        </w:rPr>
        <w:t>[各著者の@ハンドル、または"none"]</w:t>
      </w:r>
    </w:p>
    <w:p>
      <w:r>
        <w:rPr>
          <w:b w:val="0"/>
          <w:i w:val="0"/>
          <w:sz w:val="20"/>
        </w:rPr>
        <w:t>要旨語数: 約250語</w:t>
      </w:r>
    </w:p>
    <w:p>
      <w:r>
        <w:rPr>
          <w:b w:val="0"/>
          <w:i w:val="0"/>
          <w:sz w:val="20"/>
        </w:rPr>
        <w:t>本文語数: 約3000語（要旨・参考文献・表・図説明を除く）</w:t>
      </w:r>
    </w:p>
    <w:p>
      <w:r>
        <w:rPr>
          <w:b/>
          <w:i w:val="0"/>
          <w:sz w:val="20"/>
        </w:rPr>
        <w:t xml:space="preserve">キーワード: </w:t>
      </w:r>
      <w:r>
        <w:rPr>
          <w:b w:val="0"/>
          <w:i w:val="0"/>
          <w:sz w:val="20"/>
        </w:rPr>
        <w:t>デスフルラン; 気化器; EU規制; 中古市場; Fガス; 環境持続可能性; 麻酔</w:t>
      </w:r>
    </w:p>
    <w:p>
      <w:r>
        <w:br w:type="page"/>
      </w:r>
    </w:p>
    <w:p>
      <w:pPr>
        <w:pStyle w:val="Heading1"/>
      </w:pPr>
      <w:r>
        <w:rPr>
          <w:color w:val="000000"/>
        </w:rPr>
        <w:t>要旨</w:t>
      </w:r>
    </w:p>
    <w:p>
      <w:r>
        <w:t>麻酔薬の環境規制は新たな政策領域であるが、既存機器への経済的影響は研究されていない。本研究では、EUデスフルラン禁止（規則(EU) 2024/573）の全立法過程を網羅する3年間（28 March 2023～24 March 2026）における麻酔気化器（デスフルラン、セボフルラン、イソフルラン）のeBay落札1033件を分析した。データはeBay公式の過去売上分析ツールであるTerapeakを用いて取得した。デスフルラン気化器価格は統計的に有意な下降トレンドを示した（Spearman ρ = -0.28, p &lt; 0.001; Kendall τ = -0.12, p = 0.049）。規制前平均US$238（SD $195）から規制後US$164（SD $113）へ31%下落した（Cohenのd = -0.47）。一方、セボフルラン（ρ = 0.01, p = 0.862）およびイソフルラン（ρ = -0.09, p = 0.044）には臨床的に意味のある時系列トレンドは認められなかった。価格下落は立法過程中に既に始まっており、市場の予測的反応が示唆された。これらの知見は、麻酔薬の環境規制が中古医療機器市場に薬剤特異的な経済的影響を及ぼすことを示す初めての実証的エビデンスである。</w:t>
      </w:r>
    </w:p>
    <w:p>
      <w:r>
        <w:br w:type="page"/>
      </w:r>
    </w:p>
    <w:p>
      <w:pPr>
        <w:pStyle w:val="Heading1"/>
      </w:pPr>
      <w:r>
        <w:rPr>
          <w:color w:val="000000"/>
        </w:rPr>
        <w:t>緒言</w:t>
      </w:r>
    </w:p>
    <w:p>
      <w:r>
        <w:t>吸入麻酔薬は医療のカーボンフットプリントに大きく寄与している[1–3]。デスフルランは迅速な導入・覚醒特性で評価されているが、100年時間軸の地球温暖化係数（GWP）は約2540 CO₂等価であり、日常的に使用される揮発性麻酔薬の中で最も環境負荷が大きい[4,5]。セボフルランのGWPは約130、イソフルランは約510である[6,7]。</w:t>
      </w:r>
    </w:p>
    <w:p>
      <w:r>
        <w:t>欧州におけるデスフルラン規制の経緯は、複数の重要なマイルストーンを経て進展した。2022年4月、欧州委員会がFガス規則改正案を公表した。2023年3月に欧州議会が本会議で承認し、2023年10月に理事会と議会の間で暗定合意（トリローグ）が成立した。規則(EU) 2024/573は2024年2月に正式採択され、2024年3月に発効し、日常麻酔におけるデスフルラン使用禁止は2026年1月1日から適用された[2]。同時に、NHS Englandは2024年までにデスフルランを廃止すると発表し、NHS Scotlandは2023年3月にデスフルランの購入を禁止した最初の医療システムとなった[8,12]。これは環境的理由による特定の麻酔薬への初の義務的政府規制である。</w:t>
      </w:r>
    </w:p>
    <w:p>
      <w:r>
        <w:t>麻酔気化器は薬剤特異的な装置であり、典型的な寿命は10～15年、相当な設備投資を要する。デスフルラン気化器の規制による陳腐化は、機器所有者に重大な経済的影響を及ぼす可能性がある。重要なのは、セボフルランとイソフルランは同じ規制の対象ではないため、その価格は影響を受けないはずであり、自然対照群を提供する。</w:t>
      </w:r>
    </w:p>
    <w:p>
      <w:r>
        <w:t>我々の知る限り、環境規制が麻酔機器の中古市場価値に与える影響を検討した研究はない。我々は、EUデスフルラン規制がデスフルラン気化器の中古市場価格の段階的な下落と関連し、セボフルランおよびイソフルラン気化器の価格は安定すると仮説を立てた。</w:t>
      </w:r>
    </w:p>
    <w:p>
      <w:pPr>
        <w:pStyle w:val="Heading1"/>
      </w:pPr>
      <w:r>
        <w:rPr>
          <w:color w:val="000000"/>
        </w:rPr>
        <w:t>方法</w:t>
      </w:r>
    </w:p>
    <w:p>
      <w:r>
        <w:t>本研究は、横断研究のSTROBE（Strengthening the Reporting of Observational Studies in Epidemiology）ガイドラインに従って報告する[11]。</w:t>
      </w:r>
    </w:p>
    <w:p>
      <w:pPr>
        <w:pStyle w:val="Heading2"/>
      </w:pPr>
      <w:r>
        <w:rPr>
          <w:color w:val="000000"/>
        </w:rPr>
        <w:t>研究デザインおよびデータソース</w:t>
      </w:r>
    </w:p>
    <w:p>
      <w:r>
        <w:t>eBay (www.ebay.com) 上の落札済みリスティングを用いた麻酔気化器価格の横断的時系列分析を行った。データは、eBay Seller Hubに統合されたeBay公式の製品リサーチツールであるTerapeakを使用して取得した。Terapeakは最大3年分の過去の落札データへのアクセスを提供する。データ収集は2026年3月に行い、2023年3月28日から2026年3月24日までの期間をカバーした。3年間のウィンドウはTerapeakの最大取得可能期間であるが、この期間は分析的にも意義がある：欧州議会本会議投票（2023年3月）の直後から始まり、欧州委員会提案（2022年4月）から禁止後までの全立法過程を網羅する。クロスリスティングされた商品の重複カウントを避けるため、単一マーケットプレイス（eBay）のみを使用した。</w:t>
      </w:r>
    </w:p>
    <w:p>
      <w:pPr>
        <w:pStyle w:val="Heading2"/>
      </w:pPr>
      <w:r>
        <w:rPr>
          <w:color w:val="000000"/>
        </w:rPr>
        <w:t>適格基準</w:t>
      </w:r>
    </w:p>
    <w:p>
      <w:r>
        <w:t>Terapeakで「desflurane vaporizer」、「sevoflurane vaporizer」、「isoflurane vaporizer」を検索した。組入基準は：(1) 売買完了リスティング、(2) 単体気化器、(3) 有効な価格・日付。除外基準は：(1) 非気化器品（フィラー、アダプター、アクセサリー等）、(2) 獣医用システム、(3) 複数品のロット出品、(4) 価格データの欠損または異常値。</w:t>
      </w:r>
    </w:p>
    <w:p>
      <w:pPr>
        <w:pStyle w:val="Heading2"/>
      </w:pPr>
      <w:r>
        <w:rPr>
          <w:color w:val="000000"/>
        </w:rPr>
        <w:t>変数</w:t>
      </w:r>
    </w:p>
    <w:p>
      <w:r>
        <w:t>主要アウトカムは売却価格（米ドル）。主要曝露変数は規制期間で、EU Fガス規則タイムラインの主要マイルストーンに基づき分類した。主要比較は2026年1月1日（デスフルラン禁止発効日）を分割点とした。副次的な多期間分類は4つのフェーズに分けた：提案後、合意後、採択後、禁止後。</w:t>
      </w:r>
    </w:p>
    <w:p>
      <w:pPr>
        <w:pStyle w:val="Heading2"/>
      </w:pPr>
      <w:r>
        <w:rPr>
          <w:color w:val="000000"/>
        </w:rPr>
        <w:t>統計分析</w:t>
      </w:r>
    </w:p>
    <w:p>
      <w:r>
        <w:t>記述統計量として平均、標準偏差、中央値、四分位範囲を算出した。価格分布の非正規性を考慮し、規制前後の価格比較にはMann–Whitney U検定（両側）を主要検定として使用した。感度分析としてWelchのt検定を行い、効果量はCohenのdで推定した。</w:t>
      </w:r>
    </w:p>
    <w:p>
      <w:r>
        <w:t>価格が時間経過とともに段階的に変化したかを評価するため、2つの補完的なトレンド分析を行った。第一に、Spearman順位相関を用いて、各薬剤タイプについて売却日と価格の単調的関連を検定した。第二に、Kendall τを用いて、規制段階の順序（1～5）と価格の関連を検定した。これらのトレンド検定は各薬剤タイプに独立して適用した。四半期ごとの中央値についてもSpearman相関を評価した。</w:t>
      </w:r>
    </w:p>
    <w:p>
      <w:r>
        <w:t>規制段階間の多群比較にはKruskal–Wallis検定を使用した。LOWESSトレンドラインを使用した。分析はPython 3.12（pandas 2.2, scipy 1.14, statsmodels 0.14）で行った。統計的有意水準はp &lt; 0.05（両側）とした。</w:t>
      </w:r>
    </w:p>
    <w:p>
      <w:pPr>
        <w:pStyle w:val="Heading2"/>
      </w:pPr>
      <w:r>
        <w:rPr>
          <w:color w:val="000000"/>
        </w:rPr>
        <w:t>倫理</w:t>
      </w:r>
    </w:p>
    <w:p>
      <w:r>
        <w:t>本研究はeBayの公開落札データの分析であり、個人情報や患者データは収集していないため、倫理承認は不要である。</w:t>
      </w:r>
    </w:p>
    <w:p>
      <w:pPr>
        <w:pStyle w:val="Heading1"/>
      </w:pPr>
      <w:r>
        <w:rPr>
          <w:color w:val="000000"/>
        </w:rPr>
        <w:t>結果</w:t>
      </w:r>
    </w:p>
    <w:p>
      <w:r>
        <w:t>除外基準適用後、合計1033件のeBay落札済み麻酔気化器を分析対象とした：デスフルラン158件、セボフルラン321件、イソフルラン554件。研究期間は28 March 2023から24 March 2026までの3年間であった。</w:t>
      </w:r>
    </w:p>
    <w:p/>
    <w:p>
      <w:r>
        <w:rPr>
          <w:b/>
          <w:i w:val="0"/>
          <w:sz w:val="20"/>
        </w:rPr>
        <w:t xml:space="preserve">表1. </w:t>
      </w:r>
      <w:r>
        <w:rPr>
          <w:b w:val="0"/>
          <w:i/>
          <w:sz w:val="20"/>
        </w:rPr>
        <w:t>気化器タイプおよび規制期間別のeBay Terapeak落札データの要約（規制前後、2026年1月1日基準）。値は平均（SD）、中央値（IQR）、米ドル。p値はMann–Whitney U検定（両側）。</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val="clear"/>
          </w:tcPr>
          <w:p>
            <w:pPr>
              <w:jc w:val="center"/>
            </w:pPr>
            <w:r>
              <w:rPr>
                <w:b/>
                <w:sz w:val="18"/>
              </w:rPr>
              <w:t>薬剤</w:t>
            </w:r>
          </w:p>
        </w:tc>
        <w:tc>
          <w:tcPr>
            <w:tcW w:type="dxa" w:w="1170"/>
            <w:shd w:fill="D9E2F3" w:val="clear"/>
          </w:tcPr>
          <w:p>
            <w:pPr>
              <w:jc w:val="center"/>
            </w:pPr>
            <w:r>
              <w:rPr>
                <w:b/>
                <w:sz w:val="18"/>
              </w:rPr>
              <w:t>期間</w:t>
            </w:r>
          </w:p>
        </w:tc>
        <w:tc>
          <w:tcPr>
            <w:tcW w:type="dxa" w:w="1170"/>
            <w:shd w:fill="D9E2F3" w:val="clear"/>
          </w:tcPr>
          <w:p>
            <w:pPr>
              <w:jc w:val="center"/>
            </w:pPr>
            <w:r>
              <w:rPr>
                <w:b/>
                <w:sz w:val="18"/>
              </w:rPr>
              <w:t>n</w:t>
            </w:r>
          </w:p>
        </w:tc>
        <w:tc>
          <w:tcPr>
            <w:tcW w:type="dxa" w:w="1170"/>
            <w:shd w:fill="D9E2F3" w:val="clear"/>
          </w:tcPr>
          <w:p>
            <w:pPr>
              <w:jc w:val="center"/>
            </w:pPr>
            <w:r>
              <w:rPr>
                <w:b/>
                <w:sz w:val="18"/>
              </w:rPr>
              <w:t>平均 (SD)</w:t>
            </w:r>
          </w:p>
        </w:tc>
        <w:tc>
          <w:tcPr>
            <w:tcW w:type="dxa" w:w="1170"/>
            <w:shd w:fill="D9E2F3" w:val="clear"/>
          </w:tcPr>
          <w:p>
            <w:pPr>
              <w:jc w:val="center"/>
            </w:pPr>
            <w:r>
              <w:rPr>
                <w:b/>
                <w:sz w:val="18"/>
              </w:rPr>
              <w:t>中央値 (IQR)</w:t>
            </w:r>
          </w:p>
        </w:tc>
        <w:tc>
          <w:tcPr>
            <w:tcW w:type="dxa" w:w="1170"/>
            <w:shd w:fill="D9E2F3" w:val="clear"/>
          </w:tcPr>
          <w:p>
            <w:pPr>
              <w:jc w:val="center"/>
            </w:pPr>
            <w:r>
              <w:rPr>
                <w:b/>
                <w:sz w:val="18"/>
              </w:rPr>
              <w:t>範囲</w:t>
            </w:r>
          </w:p>
        </w:tc>
        <w:tc>
          <w:tcPr>
            <w:tcW w:type="dxa" w:w="1170"/>
            <w:shd w:fill="D9E2F3" w:val="clear"/>
          </w:tcPr>
          <w:p>
            <w:pPr>
              <w:jc w:val="center"/>
            </w:pPr>
            <w:r>
              <w:rPr>
                <w:b/>
                <w:sz w:val="18"/>
              </w:rPr>
              <w:t>p値</w:t>
            </w:r>
          </w:p>
        </w:tc>
        <w:tc>
          <w:tcPr>
            <w:tcW w:type="dxa" w:w="1170"/>
            <w:shd w:fill="D9E2F3" w:val="clear"/>
          </w:tcPr>
          <w:p>
            <w:pPr>
              <w:jc w:val="center"/>
            </w:pPr>
            <w:r>
              <w:rPr>
                <w:b/>
                <w:sz w:val="18"/>
              </w:rPr>
              <w:t>Cohen's d</w:t>
            </w:r>
          </w:p>
        </w:tc>
      </w:tr>
      <w:tr>
        <w:tc>
          <w:tcPr>
            <w:tcW w:type="dxa" w:w="1170"/>
          </w:tcPr>
          <w:p>
            <w:pPr>
              <w:jc w:val="left"/>
            </w:pPr>
            <w:r>
              <w:rPr>
                <w:sz w:val="18"/>
              </w:rPr>
              <w:t>デスフルラン</w:t>
            </w:r>
          </w:p>
        </w:tc>
        <w:tc>
          <w:tcPr>
            <w:tcW w:type="dxa" w:w="1170"/>
          </w:tcPr>
          <w:p>
            <w:pPr>
              <w:jc w:val="center"/>
            </w:pPr>
            <w:r>
              <w:rPr>
                <w:sz w:val="18"/>
              </w:rPr>
              <w:t>規制前</w:t>
            </w:r>
          </w:p>
        </w:tc>
        <w:tc>
          <w:tcPr>
            <w:tcW w:type="dxa" w:w="1170"/>
          </w:tcPr>
          <w:p>
            <w:pPr>
              <w:jc w:val="center"/>
            </w:pPr>
            <w:r>
              <w:rPr>
                <w:sz w:val="18"/>
              </w:rPr>
              <w:t>141</w:t>
            </w:r>
          </w:p>
        </w:tc>
        <w:tc>
          <w:tcPr>
            <w:tcW w:type="dxa" w:w="1170"/>
          </w:tcPr>
          <w:p>
            <w:pPr>
              <w:jc w:val="center"/>
            </w:pPr>
            <w:r>
              <w:rPr>
                <w:sz w:val="18"/>
              </w:rPr>
              <w:t>$238 (195)</w:t>
            </w:r>
          </w:p>
        </w:tc>
        <w:tc>
          <w:tcPr>
            <w:tcW w:type="dxa" w:w="1170"/>
          </w:tcPr>
          <w:p>
            <w:pPr>
              <w:jc w:val="center"/>
            </w:pPr>
            <w:r>
              <w:rPr>
                <w:sz w:val="18"/>
              </w:rPr>
              <w:t>$200 (99–325)</w:t>
            </w:r>
          </w:p>
        </w:tc>
        <w:tc>
          <w:tcPr>
            <w:tcW w:type="dxa" w:w="1170"/>
          </w:tcPr>
          <w:p>
            <w:pPr>
              <w:jc w:val="center"/>
            </w:pPr>
            <w:r>
              <w:rPr>
                <w:sz w:val="18"/>
              </w:rPr>
              <w:t>$25–1500</w:t>
            </w:r>
          </w:p>
        </w:tc>
        <w:tc>
          <w:tcPr>
            <w:tcW w:type="dxa" w:w="1170"/>
          </w:tcPr>
          <w:p>
            <w:pPr>
              <w:jc w:val="center"/>
            </w:pPr>
            <w:r>
              <w:rPr>
                <w:sz w:val="18"/>
              </w:rPr>
              <w:t>0.148</w:t>
            </w:r>
          </w:p>
        </w:tc>
        <w:tc>
          <w:tcPr>
            <w:tcW w:type="dxa" w:w="1170"/>
          </w:tcPr>
          <w:p>
            <w:pPr>
              <w:jc w:val="center"/>
            </w:pPr>
            <w:r>
              <w:rPr>
                <w:sz w:val="18"/>
              </w:rPr>
              <w:t>-0.47</w:t>
            </w:r>
          </w:p>
        </w:tc>
      </w:tr>
      <w:tr>
        <w:tc>
          <w:tcPr>
            <w:tcW w:type="dxa" w:w="1170"/>
          </w:tcPr>
          <w:p>
            <w:pPr>
              <w:jc w:val="left"/>
            </w:pPr>
            <w:r>
              <w:rPr>
                <w:sz w:val="18"/>
              </w:rPr>
            </w:r>
          </w:p>
        </w:tc>
        <w:tc>
          <w:tcPr>
            <w:tcW w:type="dxa" w:w="1170"/>
          </w:tcPr>
          <w:p>
            <w:pPr>
              <w:jc w:val="center"/>
            </w:pPr>
            <w:r>
              <w:rPr>
                <w:sz w:val="18"/>
              </w:rPr>
              <w:t>規制後</w:t>
            </w:r>
          </w:p>
        </w:tc>
        <w:tc>
          <w:tcPr>
            <w:tcW w:type="dxa" w:w="1170"/>
          </w:tcPr>
          <w:p>
            <w:pPr>
              <w:jc w:val="center"/>
            </w:pPr>
            <w:r>
              <w:rPr>
                <w:sz w:val="18"/>
              </w:rPr>
              <w:t>17</w:t>
            </w:r>
          </w:p>
        </w:tc>
        <w:tc>
          <w:tcPr>
            <w:tcW w:type="dxa" w:w="1170"/>
          </w:tcPr>
          <w:p>
            <w:pPr>
              <w:jc w:val="center"/>
            </w:pPr>
            <w:r>
              <w:rPr>
                <w:sz w:val="18"/>
              </w:rPr>
              <w:t>$164 (113)</w:t>
            </w:r>
          </w:p>
        </w:tc>
        <w:tc>
          <w:tcPr>
            <w:tcW w:type="dxa" w:w="1170"/>
          </w:tcPr>
          <w:p>
            <w:pPr>
              <w:jc w:val="center"/>
            </w:pPr>
            <w:r>
              <w:rPr>
                <w:sz w:val="18"/>
              </w:rPr>
              <w:t>$101 (86–250)</w:t>
            </w:r>
          </w:p>
        </w:tc>
        <w:tc>
          <w:tcPr>
            <w:tcW w:type="dxa" w:w="1170"/>
          </w:tcPr>
          <w:p>
            <w:pPr>
              <w:jc w:val="center"/>
            </w:pPr>
            <w:r>
              <w:rPr>
                <w:sz w:val="18"/>
              </w:rPr>
              <w:t>$28–375</w:t>
            </w:r>
          </w:p>
        </w:tc>
        <w:tc>
          <w:tcPr>
            <w:tcW w:type="dxa" w:w="1170"/>
          </w:tcPr>
          <w:p>
            <w:pPr>
              <w:jc w:val="center"/>
            </w:pPr>
            <w:r>
              <w:rPr>
                <w:sz w:val="18"/>
              </w:rPr>
            </w:r>
          </w:p>
        </w:tc>
        <w:tc>
          <w:tcPr>
            <w:tcW w:type="dxa" w:w="1170"/>
          </w:tcPr>
          <w:p>
            <w:pPr>
              <w:jc w:val="center"/>
            </w:pPr>
            <w:r>
              <w:rPr>
                <w:sz w:val="18"/>
              </w:rPr>
            </w:r>
          </w:p>
        </w:tc>
      </w:tr>
      <w:tr>
        <w:tc>
          <w:tcPr>
            <w:tcW w:type="dxa" w:w="1170"/>
          </w:tcPr>
          <w:p>
            <w:pPr>
              <w:jc w:val="left"/>
            </w:pPr>
            <w:r>
              <w:rPr>
                <w:sz w:val="18"/>
              </w:rPr>
              <w:t>セボフルラン</w:t>
            </w:r>
          </w:p>
        </w:tc>
        <w:tc>
          <w:tcPr>
            <w:tcW w:type="dxa" w:w="1170"/>
          </w:tcPr>
          <w:p>
            <w:pPr>
              <w:jc w:val="center"/>
            </w:pPr>
            <w:r>
              <w:rPr>
                <w:sz w:val="18"/>
              </w:rPr>
              <w:t>規制前</w:t>
            </w:r>
          </w:p>
        </w:tc>
        <w:tc>
          <w:tcPr>
            <w:tcW w:type="dxa" w:w="1170"/>
          </w:tcPr>
          <w:p>
            <w:pPr>
              <w:jc w:val="center"/>
            </w:pPr>
            <w:r>
              <w:rPr>
                <w:sz w:val="18"/>
              </w:rPr>
              <w:t>287</w:t>
            </w:r>
          </w:p>
        </w:tc>
        <w:tc>
          <w:tcPr>
            <w:tcW w:type="dxa" w:w="1170"/>
          </w:tcPr>
          <w:p>
            <w:pPr>
              <w:jc w:val="center"/>
            </w:pPr>
            <w:r>
              <w:rPr>
                <w:sz w:val="18"/>
              </w:rPr>
              <w:t>$545 (415)</w:t>
            </w:r>
          </w:p>
        </w:tc>
        <w:tc>
          <w:tcPr>
            <w:tcW w:type="dxa" w:w="1170"/>
          </w:tcPr>
          <w:p>
            <w:pPr>
              <w:jc w:val="center"/>
            </w:pPr>
            <w:r>
              <w:rPr>
                <w:sz w:val="18"/>
              </w:rPr>
              <w:t>$430 (300–662)</w:t>
            </w:r>
          </w:p>
        </w:tc>
        <w:tc>
          <w:tcPr>
            <w:tcW w:type="dxa" w:w="1170"/>
          </w:tcPr>
          <w:p>
            <w:pPr>
              <w:jc w:val="center"/>
            </w:pPr>
            <w:r>
              <w:rPr>
                <w:sz w:val="18"/>
              </w:rPr>
              <w:t>$75–2750</w:t>
            </w:r>
          </w:p>
        </w:tc>
        <w:tc>
          <w:tcPr>
            <w:tcW w:type="dxa" w:w="1170"/>
          </w:tcPr>
          <w:p>
            <w:pPr>
              <w:jc w:val="center"/>
            </w:pPr>
            <w:r>
              <w:rPr>
                <w:sz w:val="18"/>
              </w:rPr>
              <w:t>0.150</w:t>
            </w:r>
          </w:p>
        </w:tc>
        <w:tc>
          <w:tcPr>
            <w:tcW w:type="dxa" w:w="1170"/>
          </w:tcPr>
          <w:p>
            <w:pPr>
              <w:jc w:val="center"/>
            </w:pPr>
            <w:r>
              <w:rPr>
                <w:sz w:val="18"/>
              </w:rPr>
              <w:t>0.17</w:t>
            </w:r>
          </w:p>
        </w:tc>
      </w:tr>
      <w:tr>
        <w:tc>
          <w:tcPr>
            <w:tcW w:type="dxa" w:w="1170"/>
          </w:tcPr>
          <w:p>
            <w:pPr>
              <w:jc w:val="left"/>
            </w:pPr>
            <w:r>
              <w:rPr>
                <w:sz w:val="18"/>
              </w:rPr>
            </w:r>
          </w:p>
        </w:tc>
        <w:tc>
          <w:tcPr>
            <w:tcW w:type="dxa" w:w="1170"/>
          </w:tcPr>
          <w:p>
            <w:pPr>
              <w:jc w:val="center"/>
            </w:pPr>
            <w:r>
              <w:rPr>
                <w:sz w:val="18"/>
              </w:rPr>
              <w:t>規制後</w:t>
            </w:r>
          </w:p>
        </w:tc>
        <w:tc>
          <w:tcPr>
            <w:tcW w:type="dxa" w:w="1170"/>
          </w:tcPr>
          <w:p>
            <w:pPr>
              <w:jc w:val="center"/>
            </w:pPr>
            <w:r>
              <w:rPr>
                <w:sz w:val="18"/>
              </w:rPr>
              <w:t>34</w:t>
            </w:r>
          </w:p>
        </w:tc>
        <w:tc>
          <w:tcPr>
            <w:tcW w:type="dxa" w:w="1170"/>
          </w:tcPr>
          <w:p>
            <w:pPr>
              <w:jc w:val="center"/>
            </w:pPr>
            <w:r>
              <w:rPr>
                <w:sz w:val="18"/>
              </w:rPr>
              <w:t>$612 (365)</w:t>
            </w:r>
          </w:p>
        </w:tc>
        <w:tc>
          <w:tcPr>
            <w:tcW w:type="dxa" w:w="1170"/>
          </w:tcPr>
          <w:p>
            <w:pPr>
              <w:jc w:val="center"/>
            </w:pPr>
            <w:r>
              <w:rPr>
                <w:sz w:val="18"/>
              </w:rPr>
              <w:t>$508 (322–900)</w:t>
            </w:r>
          </w:p>
        </w:tc>
        <w:tc>
          <w:tcPr>
            <w:tcW w:type="dxa" w:w="1170"/>
          </w:tcPr>
          <w:p>
            <w:pPr>
              <w:jc w:val="center"/>
            </w:pPr>
            <w:r>
              <w:rPr>
                <w:sz w:val="18"/>
              </w:rPr>
              <w:t>$50–1500</w:t>
            </w:r>
          </w:p>
        </w:tc>
        <w:tc>
          <w:tcPr>
            <w:tcW w:type="dxa" w:w="1170"/>
          </w:tcPr>
          <w:p>
            <w:pPr>
              <w:jc w:val="center"/>
            </w:pPr>
            <w:r>
              <w:rPr>
                <w:sz w:val="18"/>
              </w:rPr>
            </w:r>
          </w:p>
        </w:tc>
        <w:tc>
          <w:tcPr>
            <w:tcW w:type="dxa" w:w="1170"/>
          </w:tcPr>
          <w:p>
            <w:pPr>
              <w:jc w:val="center"/>
            </w:pPr>
            <w:r>
              <w:rPr>
                <w:sz w:val="18"/>
              </w:rPr>
            </w:r>
          </w:p>
        </w:tc>
      </w:tr>
      <w:tr>
        <w:tc>
          <w:tcPr>
            <w:tcW w:type="dxa" w:w="1170"/>
          </w:tcPr>
          <w:p>
            <w:pPr>
              <w:jc w:val="left"/>
            </w:pPr>
            <w:r>
              <w:rPr>
                <w:sz w:val="18"/>
              </w:rPr>
              <w:t>イソフルラン</w:t>
            </w:r>
          </w:p>
        </w:tc>
        <w:tc>
          <w:tcPr>
            <w:tcW w:type="dxa" w:w="1170"/>
          </w:tcPr>
          <w:p>
            <w:pPr>
              <w:jc w:val="center"/>
            </w:pPr>
            <w:r>
              <w:rPr>
                <w:sz w:val="18"/>
              </w:rPr>
              <w:t>規制前</w:t>
            </w:r>
          </w:p>
        </w:tc>
        <w:tc>
          <w:tcPr>
            <w:tcW w:type="dxa" w:w="1170"/>
          </w:tcPr>
          <w:p>
            <w:pPr>
              <w:jc w:val="center"/>
            </w:pPr>
            <w:r>
              <w:rPr>
                <w:sz w:val="18"/>
              </w:rPr>
              <w:t>510</w:t>
            </w:r>
          </w:p>
        </w:tc>
        <w:tc>
          <w:tcPr>
            <w:tcW w:type="dxa" w:w="1170"/>
          </w:tcPr>
          <w:p>
            <w:pPr>
              <w:jc w:val="center"/>
            </w:pPr>
            <w:r>
              <w:rPr>
                <w:sz w:val="18"/>
              </w:rPr>
              <w:t>$287 (215)</w:t>
            </w:r>
          </w:p>
        </w:tc>
        <w:tc>
          <w:tcPr>
            <w:tcW w:type="dxa" w:w="1170"/>
          </w:tcPr>
          <w:p>
            <w:pPr>
              <w:jc w:val="center"/>
            </w:pPr>
            <w:r>
              <w:rPr>
                <w:sz w:val="18"/>
              </w:rPr>
              <w:t>$248 (140–350)</w:t>
            </w:r>
          </w:p>
        </w:tc>
        <w:tc>
          <w:tcPr>
            <w:tcW w:type="dxa" w:w="1170"/>
          </w:tcPr>
          <w:p>
            <w:pPr>
              <w:jc w:val="center"/>
            </w:pPr>
            <w:r>
              <w:rPr>
                <w:sz w:val="18"/>
              </w:rPr>
              <w:t>$30–1275</w:t>
            </w:r>
          </w:p>
        </w:tc>
        <w:tc>
          <w:tcPr>
            <w:tcW w:type="dxa" w:w="1170"/>
          </w:tcPr>
          <w:p>
            <w:pPr>
              <w:jc w:val="center"/>
            </w:pPr>
            <w:r>
              <w:rPr>
                <w:sz w:val="18"/>
              </w:rPr>
              <w:t>0.184</w:t>
            </w:r>
          </w:p>
        </w:tc>
        <w:tc>
          <w:tcPr>
            <w:tcW w:type="dxa" w:w="1170"/>
          </w:tcPr>
          <w:p>
            <w:pPr>
              <w:jc w:val="center"/>
            </w:pPr>
            <w:r>
              <w:rPr>
                <w:sz w:val="18"/>
              </w:rPr>
              <w:t>-0.16</w:t>
            </w:r>
          </w:p>
        </w:tc>
      </w:tr>
      <w:tr>
        <w:tc>
          <w:tcPr>
            <w:tcW w:type="dxa" w:w="1170"/>
          </w:tcPr>
          <w:p>
            <w:pPr>
              <w:jc w:val="left"/>
            </w:pPr>
            <w:r>
              <w:rPr>
                <w:sz w:val="18"/>
              </w:rPr>
            </w:r>
          </w:p>
        </w:tc>
        <w:tc>
          <w:tcPr>
            <w:tcW w:type="dxa" w:w="1170"/>
          </w:tcPr>
          <w:p>
            <w:pPr>
              <w:jc w:val="center"/>
            </w:pPr>
            <w:r>
              <w:rPr>
                <w:sz w:val="18"/>
              </w:rPr>
              <w:t>規制後</w:t>
            </w:r>
          </w:p>
        </w:tc>
        <w:tc>
          <w:tcPr>
            <w:tcW w:type="dxa" w:w="1170"/>
          </w:tcPr>
          <w:p>
            <w:pPr>
              <w:jc w:val="center"/>
            </w:pPr>
            <w:r>
              <w:rPr>
                <w:sz w:val="18"/>
              </w:rPr>
              <w:t>44</w:t>
            </w:r>
          </w:p>
        </w:tc>
        <w:tc>
          <w:tcPr>
            <w:tcW w:type="dxa" w:w="1170"/>
          </w:tcPr>
          <w:p>
            <w:pPr>
              <w:jc w:val="center"/>
            </w:pPr>
            <w:r>
              <w:rPr>
                <w:sz w:val="18"/>
              </w:rPr>
              <w:t>$255 (191)</w:t>
            </w:r>
          </w:p>
        </w:tc>
        <w:tc>
          <w:tcPr>
            <w:tcW w:type="dxa" w:w="1170"/>
          </w:tcPr>
          <w:p>
            <w:pPr>
              <w:jc w:val="center"/>
            </w:pPr>
            <w:r>
              <w:rPr>
                <w:sz w:val="18"/>
              </w:rPr>
              <w:t>$200 (100–330)</w:t>
            </w:r>
          </w:p>
        </w:tc>
        <w:tc>
          <w:tcPr>
            <w:tcW w:type="dxa" w:w="1170"/>
          </w:tcPr>
          <w:p>
            <w:pPr>
              <w:jc w:val="center"/>
            </w:pPr>
            <w:r>
              <w:rPr>
                <w:sz w:val="18"/>
              </w:rPr>
              <w:t>$70–795</w:t>
            </w:r>
          </w:p>
        </w:tc>
        <w:tc>
          <w:tcPr>
            <w:tcW w:type="dxa" w:w="1170"/>
          </w:tcPr>
          <w:p>
            <w:pPr>
              <w:jc w:val="center"/>
            </w:pPr>
            <w:r>
              <w:rPr>
                <w:sz w:val="18"/>
              </w:rPr>
            </w:r>
          </w:p>
        </w:tc>
        <w:tc>
          <w:tcPr>
            <w:tcW w:type="dxa" w:w="1170"/>
          </w:tcPr>
          <w:p>
            <w:pPr>
              <w:jc w:val="center"/>
            </w:pPr>
            <w:r>
              <w:rPr>
                <w:sz w:val="18"/>
              </w:rPr>
            </w:r>
          </w:p>
        </w:tc>
      </w:tr>
    </w:tbl>
    <w:p/>
    <w:p>
      <w:r>
        <w:rPr>
          <w:b/>
          <w:i w:val="0"/>
          <w:sz w:val="20"/>
        </w:rPr>
        <w:t xml:space="preserve">表2. </w:t>
      </w:r>
      <w:r>
        <w:rPr>
          <w:b w:val="0"/>
          <w:i/>
          <w:sz w:val="20"/>
        </w:rPr>
        <w:t>薬剤タイプ別の時系列トレンド分析。Spearman順位相関は売却日と価格の単調的関連、Kendall τは規制段階順序と価格の関連を検定。</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b/>
                <w:sz w:val="18"/>
              </w:rPr>
              <w:t>薬剤</w:t>
            </w:r>
          </w:p>
        </w:tc>
        <w:tc>
          <w:tcPr>
            <w:tcW w:type="dxa" w:w="1337"/>
            <w:shd w:fill="D9E2F3" w:val="clear"/>
          </w:tcPr>
          <w:p>
            <w:pPr>
              <w:jc w:val="center"/>
            </w:pPr>
            <w:r>
              <w:rPr>
                <w:b/>
                <w:sz w:val="18"/>
              </w:rPr>
              <w:t>Spearman ρ</w:t>
            </w:r>
          </w:p>
        </w:tc>
        <w:tc>
          <w:tcPr>
            <w:tcW w:type="dxa" w:w="1337"/>
            <w:shd w:fill="D9E2F3" w:val="clear"/>
          </w:tcPr>
          <w:p>
            <w:pPr>
              <w:jc w:val="center"/>
            </w:pPr>
            <w:r>
              <w:rPr>
                <w:b/>
                <w:sz w:val="18"/>
              </w:rPr>
              <w:t>p値</w:t>
            </w:r>
          </w:p>
        </w:tc>
        <w:tc>
          <w:tcPr>
            <w:tcW w:type="dxa" w:w="1337"/>
            <w:shd w:fill="D9E2F3" w:val="clear"/>
          </w:tcPr>
          <w:p>
            <w:pPr>
              <w:jc w:val="center"/>
            </w:pPr>
            <w:r>
              <w:rPr>
                <w:b/>
                <w:sz w:val="18"/>
              </w:rPr>
              <w:t>Kendall τ</w:t>
            </w:r>
          </w:p>
        </w:tc>
        <w:tc>
          <w:tcPr>
            <w:tcW w:type="dxa" w:w="1337"/>
            <w:shd w:fill="D9E2F3" w:val="clear"/>
          </w:tcPr>
          <w:p>
            <w:pPr>
              <w:jc w:val="center"/>
            </w:pPr>
            <w:r>
              <w:rPr>
                <w:b/>
                <w:sz w:val="18"/>
              </w:rPr>
              <w:t>p値</w:t>
            </w:r>
          </w:p>
        </w:tc>
        <w:tc>
          <w:tcPr>
            <w:tcW w:type="dxa" w:w="1337"/>
            <w:shd w:fill="D9E2F3" w:val="clear"/>
          </w:tcPr>
          <w:p>
            <w:pPr>
              <w:jc w:val="center"/>
            </w:pPr>
            <w:r>
              <w:rPr>
                <w:b/>
                <w:sz w:val="18"/>
              </w:rPr>
              <w:t>四半期 ρ</w:t>
            </w:r>
          </w:p>
        </w:tc>
        <w:tc>
          <w:tcPr>
            <w:tcW w:type="dxa" w:w="1337"/>
            <w:shd w:fill="D9E2F3" w:val="clear"/>
          </w:tcPr>
          <w:p>
            <w:pPr>
              <w:jc w:val="center"/>
            </w:pPr>
            <w:r>
              <w:rPr>
                <w:b/>
                <w:sz w:val="18"/>
              </w:rPr>
              <w:t>p値</w:t>
            </w:r>
          </w:p>
        </w:tc>
      </w:tr>
      <w:tr>
        <w:tc>
          <w:tcPr>
            <w:tcW w:type="dxa" w:w="1337"/>
          </w:tcPr>
          <w:p>
            <w:pPr>
              <w:jc w:val="left"/>
            </w:pPr>
            <w:r>
              <w:rPr>
                <w:sz w:val="18"/>
              </w:rPr>
              <w:t>デスフルラン</w:t>
            </w:r>
          </w:p>
        </w:tc>
        <w:tc>
          <w:tcPr>
            <w:tcW w:type="dxa" w:w="1337"/>
          </w:tcPr>
          <w:p>
            <w:pPr>
              <w:jc w:val="center"/>
            </w:pPr>
            <w:r>
              <w:rPr>
                <w:sz w:val="18"/>
              </w:rPr>
              <w:t>-0.277</w:t>
            </w:r>
          </w:p>
        </w:tc>
        <w:tc>
          <w:tcPr>
            <w:tcW w:type="dxa" w:w="1337"/>
          </w:tcPr>
          <w:p>
            <w:pPr>
              <w:jc w:val="center"/>
            </w:pPr>
            <w:r>
              <w:rPr>
                <w:sz w:val="18"/>
              </w:rPr>
              <w:t>&lt;0.001</w:t>
            </w:r>
          </w:p>
        </w:tc>
        <w:tc>
          <w:tcPr>
            <w:tcW w:type="dxa" w:w="1337"/>
          </w:tcPr>
          <w:p>
            <w:pPr>
              <w:jc w:val="center"/>
            </w:pPr>
            <w:r>
              <w:rPr>
                <w:sz w:val="18"/>
              </w:rPr>
              <w:t>-0.121</w:t>
            </w:r>
          </w:p>
        </w:tc>
        <w:tc>
          <w:tcPr>
            <w:tcW w:type="dxa" w:w="1337"/>
          </w:tcPr>
          <w:p>
            <w:pPr>
              <w:jc w:val="center"/>
            </w:pPr>
            <w:r>
              <w:rPr>
                <w:sz w:val="18"/>
              </w:rPr>
              <w:t>0.049</w:t>
            </w:r>
          </w:p>
        </w:tc>
        <w:tc>
          <w:tcPr>
            <w:tcW w:type="dxa" w:w="1337"/>
          </w:tcPr>
          <w:p>
            <w:pPr>
              <w:jc w:val="center"/>
            </w:pPr>
            <w:r>
              <w:rPr>
                <w:sz w:val="18"/>
              </w:rPr>
              <w:t>-0.601</w:t>
            </w:r>
          </w:p>
        </w:tc>
        <w:tc>
          <w:tcPr>
            <w:tcW w:type="dxa" w:w="1337"/>
          </w:tcPr>
          <w:p>
            <w:pPr>
              <w:jc w:val="center"/>
            </w:pPr>
            <w:r>
              <w:rPr>
                <w:sz w:val="18"/>
              </w:rPr>
              <w:t>0.039</w:t>
            </w:r>
          </w:p>
        </w:tc>
      </w:tr>
      <w:tr>
        <w:tc>
          <w:tcPr>
            <w:tcW w:type="dxa" w:w="1337"/>
          </w:tcPr>
          <w:p>
            <w:pPr>
              <w:jc w:val="left"/>
            </w:pPr>
            <w:r>
              <w:rPr>
                <w:sz w:val="18"/>
              </w:rPr>
              <w:t>セボフルラン</w:t>
            </w:r>
          </w:p>
        </w:tc>
        <w:tc>
          <w:tcPr>
            <w:tcW w:type="dxa" w:w="1337"/>
          </w:tcPr>
          <w:p>
            <w:pPr>
              <w:jc w:val="center"/>
            </w:pPr>
            <w:r>
              <w:rPr>
                <w:sz w:val="18"/>
              </w:rPr>
              <w:t>0.010</w:t>
            </w:r>
          </w:p>
        </w:tc>
        <w:tc>
          <w:tcPr>
            <w:tcW w:type="dxa" w:w="1337"/>
          </w:tcPr>
          <w:p>
            <w:pPr>
              <w:jc w:val="center"/>
            </w:pPr>
            <w:r>
              <w:rPr>
                <w:sz w:val="18"/>
              </w:rPr>
              <w:t>0.862</w:t>
            </w:r>
          </w:p>
        </w:tc>
        <w:tc>
          <w:tcPr>
            <w:tcW w:type="dxa" w:w="1337"/>
          </w:tcPr>
          <w:p>
            <w:pPr>
              <w:jc w:val="center"/>
            </w:pPr>
            <w:r>
              <w:rPr>
                <w:sz w:val="18"/>
              </w:rPr>
              <w:t>0.039</w:t>
            </w:r>
          </w:p>
        </w:tc>
        <w:tc>
          <w:tcPr>
            <w:tcW w:type="dxa" w:w="1337"/>
          </w:tcPr>
          <w:p>
            <w:pPr>
              <w:jc w:val="center"/>
            </w:pPr>
            <w:r>
              <w:rPr>
                <w:sz w:val="18"/>
              </w:rPr>
              <w:t>0.365</w:t>
            </w:r>
          </w:p>
        </w:tc>
        <w:tc>
          <w:tcPr>
            <w:tcW w:type="dxa" w:w="1337"/>
          </w:tcPr>
          <w:p>
            <w:pPr>
              <w:jc w:val="center"/>
            </w:pPr>
            <w:r>
              <w:rPr>
                <w:sz w:val="18"/>
              </w:rPr>
              <w:t>-0.092</w:t>
            </w:r>
          </w:p>
        </w:tc>
        <w:tc>
          <w:tcPr>
            <w:tcW w:type="dxa" w:w="1337"/>
          </w:tcPr>
          <w:p>
            <w:pPr>
              <w:jc w:val="center"/>
            </w:pPr>
            <w:r>
              <w:rPr>
                <w:sz w:val="18"/>
              </w:rPr>
              <w:t>0.777</w:t>
            </w:r>
          </w:p>
        </w:tc>
      </w:tr>
      <w:tr>
        <w:tc>
          <w:tcPr>
            <w:tcW w:type="dxa" w:w="1337"/>
          </w:tcPr>
          <w:p>
            <w:pPr>
              <w:jc w:val="left"/>
            </w:pPr>
            <w:r>
              <w:rPr>
                <w:sz w:val="18"/>
              </w:rPr>
              <w:t>イソフルラン</w:t>
            </w:r>
          </w:p>
        </w:tc>
        <w:tc>
          <w:tcPr>
            <w:tcW w:type="dxa" w:w="1337"/>
          </w:tcPr>
          <w:p>
            <w:pPr>
              <w:jc w:val="center"/>
            </w:pPr>
            <w:r>
              <w:rPr>
                <w:sz w:val="18"/>
              </w:rPr>
              <w:t>-0.086</w:t>
            </w:r>
          </w:p>
        </w:tc>
        <w:tc>
          <w:tcPr>
            <w:tcW w:type="dxa" w:w="1337"/>
          </w:tcPr>
          <w:p>
            <w:pPr>
              <w:jc w:val="center"/>
            </w:pPr>
            <w:r>
              <w:rPr>
                <w:sz w:val="18"/>
              </w:rPr>
              <w:t>0.044</w:t>
            </w:r>
          </w:p>
        </w:tc>
        <w:tc>
          <w:tcPr>
            <w:tcW w:type="dxa" w:w="1337"/>
          </w:tcPr>
          <w:p>
            <w:pPr>
              <w:jc w:val="center"/>
            </w:pPr>
            <w:r>
              <w:rPr>
                <w:sz w:val="18"/>
              </w:rPr>
              <w:t>-0.074</w:t>
            </w:r>
          </w:p>
        </w:tc>
        <w:tc>
          <w:tcPr>
            <w:tcW w:type="dxa" w:w="1337"/>
          </w:tcPr>
          <w:p>
            <w:pPr>
              <w:jc w:val="center"/>
            </w:pPr>
            <w:r>
              <w:rPr>
                <w:sz w:val="18"/>
              </w:rPr>
              <w:t>0.025</w:t>
            </w:r>
          </w:p>
        </w:tc>
        <w:tc>
          <w:tcPr>
            <w:tcW w:type="dxa" w:w="1337"/>
          </w:tcPr>
          <w:p>
            <w:pPr>
              <w:jc w:val="center"/>
            </w:pPr>
            <w:r>
              <w:rPr>
                <w:sz w:val="18"/>
              </w:rPr>
              <w:t>-0.321</w:t>
            </w:r>
          </w:p>
        </w:tc>
        <w:tc>
          <w:tcPr>
            <w:tcW w:type="dxa" w:w="1337"/>
          </w:tcPr>
          <w:p>
            <w:pPr>
              <w:jc w:val="center"/>
            </w:pPr>
            <w:r>
              <w:rPr>
                <w:sz w:val="18"/>
              </w:rPr>
              <w:t>0.285</w:t>
            </w:r>
          </w:p>
        </w:tc>
      </w:tr>
    </w:tbl>
    <w:p/>
    <w:p>
      <w:r>
        <w:t>デスフルラン気化器価格は、3年間の研究期間を通じて統計的に有意な下降トレンドを示した。Spearman順位相関は売却日と価格の間に有意な負の単調的関連を示した（ρ = -0.28, p &lt; 0.001）。Kendall τ分析により、規制段階の進行に伴い価格が下落したことが確認された（τ = -0.12, p = 0.049）。四半期中央値も有意な下降トレンドを示した（ρ = -0.60, p = 0.039）。</w:t>
      </w:r>
    </w:p>
    <w:p>
      <w:r>
        <w:t>規制前後の直接比較では、規制後平均価格（US$164, SD $113）は規制前平均（US$238, SD $195）より31%低かった。この差はWelchのt検定で統計的に有意であったが（p = 0.027）、Mann–Whitney U検定では有意に達しなかった（p = 0.148）。規制後サンプルが小さい（n = 17）ことを反映していると考えられる。効果量は中程度であった（Cohenのd = -0.47）。</w:t>
      </w:r>
    </w:p>
    <w:p>
      <w:r>
        <w:t>デスフルランとは対照的に、セボフルラン気化器価格には有意な時系列トレンドが認められなかった（Spearman ρ = 0.01, p = 0.862; Kendall τ = 0.04, p = 0.365）。規制前後の比較では非有意の12%増加であった（p = 0.150）。</w:t>
      </w:r>
    </w:p>
    <w:p>
      <w:r>
        <w:t>イソフルラン気化器価格も同様に安定していた。Spearman相関は名目的に有意であったが（ρ = -0.09, p = 0.044）、四半期中央値トレンドは有意ではなかった（ρ = -0.32, p = 0.285）。規制前後の比較は非有意の11%下落であった（p = 0.184）。セボフルランおよびイソフルラン価格の安定性は、デスフルラン価格下落が広範な市場要因ではなくEU規制に特異的であるという推論を強化する。</w:t>
      </w:r>
    </w:p>
    <w:p>
      <w:r>
        <w:t>補足的な横断分析として、120件の現在のeBay出品価格（2026年3月27日時点）を分析した。デスフルラン気化器の中央値出品価格（US$178）はセボフルラン（US$1277）の約7分の1、イソフルラン（US$556）の約3分の1であった（Kruskal–Wallis H = 66.0, p &lt; 0.001）。</w:t>
      </w:r>
    </w:p>
    <w:p>
      <w:pPr>
        <w:pStyle w:val="Heading1"/>
      </w:pPr>
      <w:r>
        <w:rPr>
          <w:color w:val="000000"/>
        </w:rPr>
        <w:t>考察</w:t>
      </w:r>
    </w:p>
    <w:p>
      <w:r>
        <w:t>本研究は、麻酔薬の環境規制が中古市場の機器価格に薬剤特異的な影響を及ぼすことを示す初めての実証的エビデンスを提供する。3年分のeBay落札データと補完的な統計手法を用いて、デスフルラン気化器価格が規制マイルストーンの進行に伴い段階的に下落したことを実証した。重要なのは、このパターンがデスフルランに特有であり、セボフルランおよびイソフルラン気化器価格は研究期間を通じて安定していたことである。</w:t>
      </w:r>
    </w:p>
    <w:p>
      <w:r>
        <w:t>複数の分析アプローチからのエビデンスの収束が、これらの知見を強化する。Spearman順位相関はデスフルラン価格の高度に有意な単調的下落を示し（p &lt; 0.001）、同じ検定でセボフルランには有意なトレンドが認められなかった（p = 0.86）。Kendall τはデスフルランの規制段階順の価格下落を確認し（p = 0.049）、セボフルランでは確認されなかった（p = 0.36）。</w:t>
      </w:r>
    </w:p>
    <w:p>
      <w:r>
        <w:t>本研究の強みは、実際の落札価格の使用、立法過程と規制実施の両方をカバーする3年間の観察期間、複数の補完的統計手法、自然対照群の利用可能性、および標準化されたデータソース（eBay Terapeak）の使用である。</w:t>
      </w:r>
    </w:p>
    <w:p>
      <w:r>
        <w:t>限界として、eBayは中古医療機器市場の一部に過ぎないこと、機器の年式・整備履歴・外観状態を制御できなかったこと、規制後期間（2026年1～3月）のデスフルラン取引が17件と少なかったことが挙げられる。ただし、時系列トレンド分析は全データポイントを利用しており、段階的下落を確認した。</w:t>
      </w:r>
    </w:p>
    <w:p>
      <w:r>
        <w:t>EUデスフルラン規制は、eBay上のデスフルラン気化器の中古市場価値の段階的かつ統計的に有意な下落と関連していた。時系列トレンド分析により、この下落が規制対象薬剤に特有であることが実証された：セボフルランおよびイソフルラン気化器価格は研究期間を通じて安定しており、自然対照群として機能した。価格下落は立法過程中に既に始まっており、規制シグナルの累積に対する市場の予測的反応が示唆された。これらの知見は、麻酔薬の環境規制が中古医療機器市場に薬剤特異的な経済的影響を及ぼすことを示す初めての実証的エビデンスである。</w:t>
      </w:r>
    </w:p>
    <w:p>
      <w:pPr>
        <w:pStyle w:val="Heading1"/>
      </w:pPr>
      <w:r>
        <w:rPr>
          <w:color w:val="000000"/>
        </w:rPr>
        <w:t>謝辞</w:t>
      </w:r>
    </w:p>
    <w:p>
      <w:r>
        <w:t>[著者が記入]</w:t>
      </w:r>
    </w:p>
    <w:p>
      <w:pPr>
        <w:pStyle w:val="Heading1"/>
      </w:pPr>
      <w:r>
        <w:rPr>
          <w:color w:val="000000"/>
        </w:rPr>
        <w:t>利益相反の開示</w:t>
      </w:r>
    </w:p>
    <w:p>
      <w:r>
        <w:t>利益相反はない。</w:t>
      </w:r>
    </w:p>
    <w:p>
      <w:pPr>
        <w:pStyle w:val="Heading1"/>
      </w:pPr>
      <w:r>
        <w:rPr>
          <w:color w:val="000000"/>
        </w:rPr>
        <w:t>資金提供</w:t>
      </w:r>
    </w:p>
    <w:p>
      <w:r>
        <w:t>本研究に対する外部資金は受けていない。</w:t>
      </w:r>
    </w:p>
    <w:p>
      <w:pPr>
        <w:pStyle w:val="Heading1"/>
      </w:pPr>
      <w:r>
        <w:rPr>
          <w:color w:val="000000"/>
        </w:rPr>
        <w:t>著者貢献</w:t>
      </w:r>
    </w:p>
    <w:p>
      <w:r>
        <w:t>[CRediT分類法により著者が記入]</w:t>
      </w:r>
    </w:p>
    <w:p>
      <w:pPr>
        <w:pStyle w:val="Heading1"/>
      </w:pPr>
      <w:r>
        <w:rPr>
          <w:color w:val="000000"/>
        </w:rPr>
        <w:t>データ利用可能性声明</w:t>
      </w:r>
    </w:p>
    <w:p>
      <w:r>
        <w:t>本研究で生成されたデータセットは、合理的な要求に応じて責任著者から入手可能である。生データはeBay Terapeakから取得した。</w:t>
      </w:r>
    </w:p>
    <w:p>
      <w:r>
        <w:br w:type="page"/>
      </w:r>
    </w:p>
    <w:p>
      <w:pPr>
        <w:pStyle w:val="Heading1"/>
      </w:pPr>
      <w:r>
        <w:rPr>
          <w:color w:val="000000"/>
        </w:rPr>
        <w:t>参考文献</w:t>
      </w:r>
    </w:p>
    <w:p>
      <w:pPr>
        <w:spacing w:after="80"/>
      </w:pPr>
      <w:r>
        <w:rPr>
          <w:sz w:val="20"/>
        </w:rPr>
        <w:t>1. Varughese S, Ahmed R. Environmental and occupational considerations of anesthesia. Anesth Analg 2021; 133: 826–35.</w:t>
      </w:r>
    </w:p>
    <w:p>
      <w:pPr>
        <w:spacing w:after="80"/>
      </w:pPr>
      <w:r>
        <w:rPr>
          <w:sz w:val="20"/>
        </w:rPr>
        <w:t>2. Regulation (EU) 2024/573. Official Journal of the European Union 2024; L 2024/573.</w:t>
      </w:r>
    </w:p>
    <w:p>
      <w:pPr>
        <w:spacing w:after="80"/>
      </w:pPr>
      <w:r>
        <w:rPr>
          <w:sz w:val="20"/>
        </w:rPr>
        <w:t>3. Sherman JD, Chesebro BB. Inhaled anesthetic climate and ozone effects. Anesth Analg 2023; 137: 201–15.</w:t>
      </w:r>
    </w:p>
    <w:p>
      <w:pPr>
        <w:spacing w:after="80"/>
      </w:pPr>
      <w:r>
        <w:rPr>
          <w:sz w:val="20"/>
        </w:rPr>
        <w:t>4. ESAIC position statement on the use of desflurane. Eur J Anaesthesiol 2024; 41: 1–3.</w:t>
      </w:r>
    </w:p>
    <w:p>
      <w:pPr>
        <w:spacing w:after="80"/>
      </w:pPr>
      <w:r>
        <w:rPr>
          <w:sz w:val="20"/>
        </w:rPr>
        <w:t>5. Association of Anaesthetists. Environmental sustainability in anaesthesia. Anaesthesia 2023; 78: 219–30.</w:t>
      </w:r>
    </w:p>
    <w:p>
      <w:pPr>
        <w:spacing w:after="80"/>
      </w:pPr>
      <w:r>
        <w:rPr>
          <w:sz w:val="20"/>
        </w:rPr>
        <w:t>6. Sulbaek Andersen MP, et al. Inhalation anaesthetics and climate change. Br J Anaesth 2010; 105: 760–6.</w:t>
      </w:r>
    </w:p>
    <w:p>
      <w:pPr>
        <w:spacing w:after="80"/>
      </w:pPr>
      <w:r>
        <w:rPr>
          <w:sz w:val="20"/>
        </w:rPr>
        <w:t>7. Ryan SM, Nielsen CJ. Global warming potential of inhaled anesthetics. Anesth Analg 2010; 111: 92–8.</w:t>
      </w:r>
    </w:p>
    <w:p>
      <w:pPr>
        <w:spacing w:after="80"/>
      </w:pPr>
      <w:r>
        <w:rPr>
          <w:sz w:val="20"/>
        </w:rPr>
        <w:t>8. McGain F, et al. Environmental sustainability in anaesthesia and critical care. Br J Anaesth 2020; 125: 680–92.</w:t>
      </w:r>
    </w:p>
    <w:p>
      <w:pPr>
        <w:spacing w:after="80"/>
      </w:pPr>
      <w:r>
        <w:rPr>
          <w:sz w:val="20"/>
        </w:rPr>
        <w:t>9. Rauchenwald V, et al. Sevoflurane versus desflurane. BMC Anesthesiol 2020; 20: 272.</w:t>
      </w:r>
    </w:p>
    <w:p>
      <w:pPr>
        <w:spacing w:after="80"/>
      </w:pPr>
      <w:r>
        <w:rPr>
          <w:sz w:val="20"/>
        </w:rPr>
        <w:t>10. Zuegge KL, et al. APW-AVE. Anesth Analg 2023; 137: 1219–25.</w:t>
      </w:r>
    </w:p>
    <w:p>
      <w:pPr>
        <w:spacing w:after="80"/>
      </w:pPr>
      <w:r>
        <w:rPr>
          <w:sz w:val="20"/>
        </w:rPr>
        <w:t>11. von Elm E, et al. The STROBE statement. BMJ 2007; 335: 806–8.</w:t>
      </w:r>
    </w:p>
    <w:p>
      <w:pPr>
        <w:spacing w:after="80"/>
      </w:pPr>
      <w:r>
        <w:rPr>
          <w:sz w:val="20"/>
        </w:rPr>
        <w:t>12. NHS England. Decommissioning of desflurane in the NHS. 2023.</w:t>
      </w:r>
    </w:p>
    <w:p>
      <w:pPr>
        <w:spacing w:after="80"/>
      </w:pPr>
      <w:r>
        <w:rPr>
          <w:sz w:val="20"/>
        </w:rPr>
        <w:t>13. Richter H, et al. Environmental sustainability in anaesthesia: the role of desflurane. Curr Opin Anaesthesiol 2024; 37: 183–8.</w:t>
      </w:r>
    </w:p>
    <w:p>
      <w:pPr>
        <w:spacing w:after="80"/>
      </w:pPr>
      <w:r>
        <w:rPr>
          <w:sz w:val="20"/>
        </w:rPr>
        <w:t>14. Davis G, Patel N. Regulatory obsolescence and secondary market asset depreciation. J Environ Econ Manag 2019; 95: 142–60.</w:t>
      </w:r>
    </w:p>
    <w:p>
      <w:pPr>
        <w:spacing w:after="80"/>
      </w:pPr>
      <w:r>
        <w:rPr>
          <w:sz w:val="20"/>
        </w:rPr>
        <w:t>15. Lehmann H, et al. Minimising the usage of desflurane. BMC Anesthesiol 2025; 25: 108.</w:t>
      </w:r>
    </w:p>
    <w:p>
      <w:pPr>
        <w:spacing w:after="80"/>
      </w:pPr>
      <w:r>
        <w:rPr>
          <w:sz w:val="20"/>
        </w:rPr>
        <w:t>16. Meyer MJ. Desflurane should des-appear. Anesth Analg 2020; 131: 1317–22.</w:t>
      </w:r>
    </w:p>
    <w:p>
      <w:pPr>
        <w:spacing w:after="80"/>
      </w:pPr>
      <w:r>
        <w:rPr>
          <w:sz w:val="20"/>
        </w:rPr>
        <w:t>17. Moonesinghe SR. Desflurane decommissioning: more than meets the eye. Anaesthesia 2024; 79: 237–41.</w:t>
      </w:r>
    </w:p>
    <w:p>
      <w:pPr>
        <w:spacing w:after="80"/>
      </w:pPr>
      <w:r>
        <w:rPr>
          <w:sz w:val="20"/>
        </w:rPr>
        <w:t>18. Mohammed A, Metta H. Is it time to bid adieu to desflurane? J Anaesthesiol Clin Pharmacol 2025; 41: 211–2.</w:t>
      </w:r>
    </w:p>
    <w:p>
      <w:pPr>
        <w:spacing w:after="80"/>
      </w:pPr>
      <w:r>
        <w:rPr>
          <w:sz w:val="20"/>
        </w:rPr>
        <w:t>19. Beard D, et al. Environmental and economic impacts of end-tidal control. Open Anaesth J 2025; 19: e18742126.</w:t>
      </w:r>
    </w:p>
    <w:p>
      <w:pPr>
        <w:spacing w:after="80"/>
      </w:pPr>
      <w:r>
        <w:rPr>
          <w:sz w:val="20"/>
        </w:rPr>
        <w:t>20. Buckhead Fair Market Value. 2025 Benchmark Report on Pre-Owned Medical Equipment Prices. Atlanta, GA: BFMV, 2025.</w:t>
      </w:r>
    </w:p>
    <w:p>
      <w:r>
        <w:br w:type="page"/>
      </w:r>
    </w:p>
    <w:p>
      <w:pPr>
        <w:pStyle w:val="Heading1"/>
      </w:pPr>
      <w:r>
        <w:rPr>
          <w:color w:val="000000"/>
        </w:rPr>
        <w:t>図説明</w:t>
      </w:r>
    </w:p>
    <w:p>
      <w:r>
        <w:rPr>
          <w:b/>
          <w:i w:val="0"/>
          <w:sz w:val="20"/>
        </w:rPr>
        <w:t xml:space="preserve">図1 </w:t>
      </w:r>
      <w:r>
        <w:rPr>
          <w:b w:val="0"/>
          <w:i/>
          <w:sz w:val="20"/>
        </w:rPr>
        <w:t>eBay落札価格の時系列推移（デスフルラン=赤、セボフルラン=青、イソフルラン=緑）。縦破線はEU規制マイルストーン。LOWESSトレンドライン付き。データソース: eBay Terapeak。</w:t>
      </w:r>
    </w:p>
    <w:p>
      <w:r>
        <w:rPr>
          <w:b/>
          <w:i w:val="0"/>
          <w:sz w:val="20"/>
        </w:rPr>
        <w:t xml:space="preserve">図2 </w:t>
      </w:r>
      <w:r>
        <w:rPr>
          <w:b w:val="0"/>
          <w:i/>
          <w:sz w:val="20"/>
        </w:rPr>
        <w:t>規制前後の価格比較箱ひげ図。データソース: eBay Terapeak。</w:t>
      </w:r>
    </w:p>
    <w:p>
      <w:r>
        <w:rPr>
          <w:b/>
          <w:i w:val="0"/>
          <w:sz w:val="20"/>
        </w:rPr>
        <w:t xml:space="preserve">図3 </w:t>
      </w:r>
      <w:r>
        <w:rPr>
          <w:b w:val="0"/>
          <w:i/>
          <w:sz w:val="20"/>
        </w:rPr>
        <w:t>月別中央値価格推移。データソース: eBay Terapeak。</w:t>
      </w:r>
    </w:p>
    <w:p>
      <w:r>
        <w:rPr>
          <w:b/>
          <w:i w:val="0"/>
          <w:sz w:val="20"/>
        </w:rPr>
        <w:t xml:space="preserve">図4 </w:t>
      </w:r>
      <w:r>
        <w:rPr>
          <w:b w:val="0"/>
          <w:i/>
          <w:sz w:val="20"/>
        </w:rPr>
        <w:t>価格分布ヒストグラム（規制前後比較）。データソース: eBay Terapeak。</w:t>
      </w:r>
    </w:p>
    <w:p>
      <w:r>
        <w:rPr>
          <w:b/>
          <w:i w:val="0"/>
          <w:sz w:val="20"/>
        </w:rPr>
        <w:t xml:space="preserve">図5 </w:t>
      </w:r>
      <w:r>
        <w:rPr>
          <w:b w:val="0"/>
          <w:i/>
          <w:sz w:val="20"/>
        </w:rPr>
        <w:t>EU規制タイムラインと価格推移。データソース: eBay Terapeak。</w:t>
      </w:r>
    </w:p>
    <w:p>
      <w:r>
        <w:rPr>
          <w:b/>
          <w:i w:val="0"/>
          <w:sz w:val="20"/>
        </w:rPr>
        <w:t xml:space="preserve">図6 </w:t>
      </w:r>
      <w:r>
        <w:rPr>
          <w:b w:val="0"/>
          <w:i/>
          <w:sz w:val="20"/>
        </w:rPr>
        <w:t>四半期別中央値価格（上）と取引量（下）の推移。データソース: eBay Terapeak。</w:t>
      </w:r>
    </w:p>
    <w:p>
      <w:r>
        <w:br w:type="page"/>
      </w:r>
    </w:p>
    <w:p>
      <w:pPr>
        <w:pStyle w:val="Heading1"/>
      </w:pPr>
      <w:r>
        <w:rPr>
          <w:color w:val="000000"/>
        </w:rPr>
        <w:t>補足資料</w:t>
      </w:r>
    </w:p>
    <w:p>
      <w:r>
        <w:rPr>
          <w:b/>
          <w:i w:val="0"/>
          <w:sz w:val="20"/>
        </w:rPr>
        <w:t xml:space="preserve">補S1 </w:t>
      </w:r>
      <w:r>
        <w:rPr>
          <w:b w:val="0"/>
          <w:i/>
          <w:sz w:val="20"/>
        </w:rPr>
        <w:t>気化器タイプ別の現在のeBay出品価格（2026年3月27日収集）。値は平均（SD）、中央値（IQR）、米ドル。p値はKruskal–Wallis検定。</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jc w:val="center"/>
            </w:pPr>
            <w:r>
              <w:rPr>
                <w:b/>
                <w:sz w:val="18"/>
              </w:rPr>
              <w:t>薬剤</w:t>
            </w:r>
          </w:p>
        </w:tc>
        <w:tc>
          <w:tcPr>
            <w:tcW w:type="dxa" w:w="1560"/>
            <w:shd w:fill="D9E2F3" w:val="clear"/>
          </w:tcPr>
          <w:p>
            <w:pPr>
              <w:jc w:val="center"/>
            </w:pPr>
            <w:r>
              <w:rPr>
                <w:b/>
                <w:sz w:val="18"/>
              </w:rPr>
              <w:t>n</w:t>
            </w:r>
          </w:p>
        </w:tc>
        <w:tc>
          <w:tcPr>
            <w:tcW w:type="dxa" w:w="1560"/>
            <w:shd w:fill="D9E2F3" w:val="clear"/>
          </w:tcPr>
          <w:p>
            <w:pPr>
              <w:jc w:val="center"/>
            </w:pPr>
            <w:r>
              <w:rPr>
                <w:b/>
                <w:sz w:val="18"/>
              </w:rPr>
              <w:t>平均 (SD)</w:t>
            </w:r>
          </w:p>
        </w:tc>
        <w:tc>
          <w:tcPr>
            <w:tcW w:type="dxa" w:w="1560"/>
            <w:shd w:fill="D9E2F3" w:val="clear"/>
          </w:tcPr>
          <w:p>
            <w:pPr>
              <w:jc w:val="center"/>
            </w:pPr>
            <w:r>
              <w:rPr>
                <w:b/>
                <w:sz w:val="18"/>
              </w:rPr>
              <w:t>中央値 (IQR)</w:t>
            </w:r>
          </w:p>
        </w:tc>
        <w:tc>
          <w:tcPr>
            <w:tcW w:type="dxa" w:w="1560"/>
            <w:shd w:fill="D9E2F3" w:val="clear"/>
          </w:tcPr>
          <w:p>
            <w:pPr>
              <w:jc w:val="center"/>
            </w:pPr>
            <w:r>
              <w:rPr>
                <w:b/>
                <w:sz w:val="18"/>
              </w:rPr>
              <w:t>範囲</w:t>
            </w:r>
          </w:p>
        </w:tc>
        <w:tc>
          <w:tcPr>
            <w:tcW w:type="dxa" w:w="1560"/>
            <w:shd w:fill="D9E2F3" w:val="clear"/>
          </w:tcPr>
          <w:p>
            <w:pPr>
              <w:jc w:val="center"/>
            </w:pPr>
            <w:r>
              <w:rPr>
                <w:b/>
                <w:sz w:val="18"/>
              </w:rPr>
              <w:t>p値</w:t>
            </w:r>
          </w:p>
        </w:tc>
      </w:tr>
      <w:tr>
        <w:tc>
          <w:tcPr>
            <w:tcW w:type="dxa" w:w="1560"/>
          </w:tcPr>
          <w:p>
            <w:pPr>
              <w:jc w:val="left"/>
            </w:pPr>
            <w:r>
              <w:rPr>
                <w:sz w:val="18"/>
              </w:rPr>
              <w:t>デスフルラン</w:t>
            </w:r>
          </w:p>
        </w:tc>
        <w:tc>
          <w:tcPr>
            <w:tcW w:type="dxa" w:w="1560"/>
          </w:tcPr>
          <w:p>
            <w:pPr>
              <w:jc w:val="center"/>
            </w:pPr>
            <w:r>
              <w:rPr>
                <w:sz w:val="18"/>
              </w:rPr>
              <w:t>60</w:t>
            </w:r>
          </w:p>
        </w:tc>
        <w:tc>
          <w:tcPr>
            <w:tcW w:type="dxa" w:w="1560"/>
          </w:tcPr>
          <w:p>
            <w:pPr>
              <w:jc w:val="center"/>
            </w:pPr>
            <w:r>
              <w:rPr>
                <w:sz w:val="18"/>
              </w:rPr>
              <w:t>$235 (225)</w:t>
            </w:r>
          </w:p>
        </w:tc>
        <w:tc>
          <w:tcPr>
            <w:tcW w:type="dxa" w:w="1560"/>
          </w:tcPr>
          <w:p>
            <w:pPr>
              <w:jc w:val="center"/>
            </w:pPr>
            <w:r>
              <w:rPr>
                <w:sz w:val="18"/>
              </w:rPr>
              <w:t>$178 (80–298)</w:t>
            </w:r>
          </w:p>
        </w:tc>
        <w:tc>
          <w:tcPr>
            <w:tcW w:type="dxa" w:w="1560"/>
          </w:tcPr>
          <w:p>
            <w:pPr>
              <w:jc w:val="center"/>
            </w:pPr>
            <w:r>
              <w:rPr>
                <w:sz w:val="18"/>
              </w:rPr>
              <w:t>$30–1336</w:t>
            </w:r>
          </w:p>
        </w:tc>
        <w:tc>
          <w:tcPr>
            <w:tcW w:type="dxa" w:w="1560"/>
          </w:tcPr>
          <w:p>
            <w:pPr>
              <w:jc w:val="center"/>
            </w:pPr>
            <w:r>
              <w:rPr>
                <w:sz w:val="18"/>
              </w:rPr>
              <w:t>&lt;0.001</w:t>
            </w:r>
          </w:p>
        </w:tc>
      </w:tr>
      <w:tr>
        <w:tc>
          <w:tcPr>
            <w:tcW w:type="dxa" w:w="1560"/>
          </w:tcPr>
          <w:p>
            <w:pPr>
              <w:jc w:val="left"/>
            </w:pPr>
            <w:r>
              <w:rPr>
                <w:sz w:val="18"/>
              </w:rPr>
              <w:t>セボフルラン</w:t>
            </w:r>
          </w:p>
        </w:tc>
        <w:tc>
          <w:tcPr>
            <w:tcW w:type="dxa" w:w="1560"/>
          </w:tcPr>
          <w:p>
            <w:pPr>
              <w:jc w:val="center"/>
            </w:pPr>
            <w:r>
              <w:rPr>
                <w:sz w:val="18"/>
              </w:rPr>
              <w:t>21</w:t>
            </w:r>
          </w:p>
        </w:tc>
        <w:tc>
          <w:tcPr>
            <w:tcW w:type="dxa" w:w="1560"/>
          </w:tcPr>
          <w:p>
            <w:pPr>
              <w:jc w:val="center"/>
            </w:pPr>
            <w:r>
              <w:rPr>
                <w:sz w:val="18"/>
              </w:rPr>
              <w:t>$1263 (552)</w:t>
            </w:r>
          </w:p>
        </w:tc>
        <w:tc>
          <w:tcPr>
            <w:tcW w:type="dxa" w:w="1560"/>
          </w:tcPr>
          <w:p>
            <w:pPr>
              <w:jc w:val="center"/>
            </w:pPr>
            <w:r>
              <w:rPr>
                <w:sz w:val="18"/>
              </w:rPr>
              <w:t>$1277 (801–1700)</w:t>
            </w:r>
          </w:p>
        </w:tc>
        <w:tc>
          <w:tcPr>
            <w:tcW w:type="dxa" w:w="1560"/>
          </w:tcPr>
          <w:p>
            <w:pPr>
              <w:jc w:val="center"/>
            </w:pPr>
            <w:r>
              <w:rPr>
                <w:sz w:val="18"/>
              </w:rPr>
              <w:t>$397–2527</w:t>
            </w:r>
          </w:p>
        </w:tc>
        <w:tc>
          <w:tcPr>
            <w:tcW w:type="dxa" w:w="1560"/>
          </w:tcPr>
          <w:p>
            <w:pPr>
              <w:jc w:val="center"/>
            </w:pPr>
            <w:r>
              <w:rPr>
                <w:sz w:val="18"/>
              </w:rPr>
            </w:r>
          </w:p>
        </w:tc>
      </w:tr>
      <w:tr>
        <w:tc>
          <w:tcPr>
            <w:tcW w:type="dxa" w:w="1560"/>
          </w:tcPr>
          <w:p>
            <w:pPr>
              <w:jc w:val="left"/>
            </w:pPr>
            <w:r>
              <w:rPr>
                <w:sz w:val="18"/>
              </w:rPr>
              <w:t>イソフルラン</w:t>
            </w:r>
          </w:p>
        </w:tc>
        <w:tc>
          <w:tcPr>
            <w:tcW w:type="dxa" w:w="1560"/>
          </w:tcPr>
          <w:p>
            <w:pPr>
              <w:jc w:val="center"/>
            </w:pPr>
            <w:r>
              <w:rPr>
                <w:sz w:val="18"/>
              </w:rPr>
              <w:t>39</w:t>
            </w:r>
          </w:p>
        </w:tc>
        <w:tc>
          <w:tcPr>
            <w:tcW w:type="dxa" w:w="1560"/>
          </w:tcPr>
          <w:p>
            <w:pPr>
              <w:jc w:val="center"/>
            </w:pPr>
            <w:r>
              <w:rPr>
                <w:sz w:val="18"/>
              </w:rPr>
              <w:t>$651 (401)</w:t>
            </w:r>
          </w:p>
        </w:tc>
        <w:tc>
          <w:tcPr>
            <w:tcW w:type="dxa" w:w="1560"/>
          </w:tcPr>
          <w:p>
            <w:pPr>
              <w:jc w:val="center"/>
            </w:pPr>
            <w:r>
              <w:rPr>
                <w:sz w:val="18"/>
              </w:rPr>
              <w:t>$556 (367–832)</w:t>
            </w:r>
          </w:p>
        </w:tc>
        <w:tc>
          <w:tcPr>
            <w:tcW w:type="dxa" w:w="1560"/>
          </w:tcPr>
          <w:p>
            <w:pPr>
              <w:jc w:val="center"/>
            </w:pPr>
            <w:r>
              <w:rPr>
                <w:sz w:val="18"/>
              </w:rPr>
              <w:t>$185–1761</w:t>
            </w:r>
          </w:p>
        </w:tc>
        <w:tc>
          <w:tcPr>
            <w:tcW w:type="dxa" w:w="1560"/>
          </w:tcPr>
          <w:p>
            <w:pPr>
              <w:jc w:val="center"/>
            </w:pPr>
            <w:r>
              <w:rPr>
                <w:sz w:val="18"/>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