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Target Journal Recommendations</w:t>
        <w:br/>
        <w:t>for Seven Weibull Clinical Dropout Manuscripts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2"/>
      </w:pPr>
      <w:r>
        <w:t>Paper 1: Six-Domain Integrated (TB + 5 open-ended)</w:t>
      </w:r>
    </w:p>
    <w:p>
      <w:pPr>
        <w:spacing w:before="0" w:after="60" w:line="276" w:lineRule="auto"/>
      </w:pPr>
      <w:r>
        <w:rPr>
          <w:b/>
        </w:rPr>
        <w:t xml:space="preserve">Primary target: </w:t>
      </w:r>
      <w:r>
        <w:t>BMC Medical Research Methodology</w:t>
      </w:r>
    </w:p>
    <w:p>
      <w:pPr>
        <w:spacing w:before="0" w:after="60" w:line="276" w:lineRule="auto"/>
      </w:pPr>
      <w:r>
        <w:rPr>
          <w:b/>
        </w:rPr>
        <w:t xml:space="preserve">Rationale: </w:t>
      </w:r>
      <w:r>
        <w:t>Cross-domain methodological study; BMC MRM published McChrystal 2025 (Weibull for trial dropout); IF 4.0; APC ~$2,890</w:t>
      </w:r>
    </w:p>
    <w:p>
      <w:pPr>
        <w:spacing w:before="0" w:after="240" w:line="276" w:lineRule="auto"/>
      </w:pPr>
      <w:r>
        <w:rPr>
          <w:b/>
        </w:rPr>
        <w:t xml:space="preserve">Alternatives: </w:t>
      </w:r>
      <w:r>
        <w:t>Statistical Methods in Medical Research (IF 2.3); PLOS ONE (IF 3.7, broad scope); Journal of Clinical Epidemiology (IF 9.0, ambitious)</w:t>
      </w:r>
    </w:p>
    <w:p>
      <w:pPr>
        <w:pStyle w:val="Heading2"/>
      </w:pPr>
      <w:r>
        <w:t>Paper 2: HIV/ART Individual</w:t>
      </w:r>
    </w:p>
    <w:p>
      <w:pPr>
        <w:spacing w:before="0" w:after="60" w:line="276" w:lineRule="auto"/>
      </w:pPr>
      <w:r>
        <w:rPr>
          <w:b/>
        </w:rPr>
        <w:t xml:space="preserve">Primary target: </w:t>
      </w:r>
      <w:r>
        <w:t>PLOS Global Public Health</w:t>
      </w:r>
    </w:p>
    <w:p>
      <w:pPr>
        <w:spacing w:before="0" w:after="60" w:line="276" w:lineRule="auto"/>
      </w:pPr>
      <w:r>
        <w:rPr>
          <w:b/>
        </w:rPr>
        <w:t xml:space="preserve">Rationale: </w:t>
      </w:r>
      <w:r>
        <w:t>IeDEA consortium publications; global health focus; OA; APC $2,500</w:t>
      </w:r>
    </w:p>
    <w:p>
      <w:pPr>
        <w:spacing w:before="0" w:after="240" w:line="276" w:lineRule="auto"/>
      </w:pPr>
      <w:r>
        <w:rPr>
          <w:b/>
        </w:rPr>
        <w:t xml:space="preserve">Alternatives: </w:t>
      </w:r>
      <w:r>
        <w:t>Journal of the International AIDS Society (IF 5.2); AIDS and Behavior (IF 4.1); Tropical Medicine &amp; International Health (IF 2.5)</w:t>
      </w:r>
    </w:p>
    <w:p>
      <w:pPr>
        <w:pStyle w:val="Heading2"/>
      </w:pPr>
      <w:r>
        <w:t>Paper 3: Antipsychotic Individual</w:t>
      </w:r>
    </w:p>
    <w:p>
      <w:pPr>
        <w:spacing w:before="0" w:after="60" w:line="276" w:lineRule="auto"/>
      </w:pPr>
      <w:r>
        <w:rPr>
          <w:b/>
        </w:rPr>
        <w:t xml:space="preserve">Primary target: </w:t>
      </w:r>
      <w:r>
        <w:t>Schizophrenia Research</w:t>
      </w:r>
    </w:p>
    <w:p>
      <w:pPr>
        <w:spacing w:before="0" w:after="60" w:line="276" w:lineRule="auto"/>
      </w:pPr>
      <w:r>
        <w:rPr>
          <w:b/>
        </w:rPr>
        <w:t xml:space="preserve">Rationale: </w:t>
      </w:r>
      <w:r>
        <w:t>CATIE/EUFEST secondary analysis; adherence focus; IF 4.6; hybrid OA</w:t>
      </w:r>
    </w:p>
    <w:p>
      <w:pPr>
        <w:spacing w:before="0" w:after="240" w:line="276" w:lineRule="auto"/>
      </w:pPr>
      <w:r>
        <w:rPr>
          <w:b/>
        </w:rPr>
        <w:t xml:space="preserve">Alternatives: </w:t>
      </w:r>
      <w:r>
        <w:t>Psychiatry Research (IF 11.3); Journal of Clinical Psychopharmacology (IF 3.2); Therapeutic Advances in Psychopharmacology (IF 4.5, OA)</w:t>
      </w:r>
    </w:p>
    <w:p>
      <w:pPr>
        <w:pStyle w:val="Heading2"/>
      </w:pPr>
      <w:r>
        <w:t>Paper 4: Substance Use Individual</w:t>
      </w:r>
    </w:p>
    <w:p>
      <w:pPr>
        <w:spacing w:before="0" w:after="60" w:line="276" w:lineRule="auto"/>
      </w:pPr>
      <w:r>
        <w:rPr>
          <w:b/>
        </w:rPr>
        <w:t xml:space="preserve">Primary target: </w:t>
      </w:r>
      <w:r>
        <w:t>Drug and Alcohol Dependence</w:t>
      </w:r>
    </w:p>
    <w:p>
      <w:pPr>
        <w:spacing w:before="0" w:after="60" w:line="276" w:lineRule="auto"/>
      </w:pPr>
      <w:r>
        <w:rPr>
          <w:b/>
        </w:rPr>
        <w:t xml:space="preserve">Rationale: </w:t>
      </w:r>
      <w:r>
        <w:t>DATOS/SAMHSA data; treatment retention focus; IF 4.2</w:t>
      </w:r>
    </w:p>
    <w:p>
      <w:pPr>
        <w:spacing w:before="0" w:after="240" w:line="276" w:lineRule="auto"/>
      </w:pPr>
      <w:r>
        <w:rPr>
          <w:b/>
        </w:rPr>
        <w:t xml:space="preserve">Alternatives: </w:t>
      </w:r>
      <w:r>
        <w:t>Addiction (IF 6.0); Journal of Substance Abuse Treatment (IF 4.8); Substance Abuse Treatment, Prevention, and Policy (OA)</w:t>
      </w:r>
    </w:p>
    <w:p>
      <w:pPr>
        <w:pStyle w:val="Heading2"/>
      </w:pPr>
      <w:r>
        <w:t>Paper 5: Cardiac Rehab Individual</w:t>
      </w:r>
    </w:p>
    <w:p>
      <w:pPr>
        <w:spacing w:before="0" w:after="60" w:line="276" w:lineRule="auto"/>
      </w:pPr>
      <w:r>
        <w:rPr>
          <w:b/>
        </w:rPr>
        <w:t xml:space="preserve">Primary target: </w:t>
      </w:r>
      <w:r>
        <w:t>European Journal of Preventive Cardiology</w:t>
      </w:r>
    </w:p>
    <w:p>
      <w:pPr>
        <w:spacing w:before="0" w:after="60" w:line="276" w:lineRule="auto"/>
      </w:pPr>
      <w:r>
        <w:rPr>
          <w:b/>
        </w:rPr>
        <w:t xml:space="preserve">Rationale: </w:t>
      </w:r>
      <w:r>
        <w:t>EUROASPIRE data; CR dropout is priority topic; IF 8.4</w:t>
      </w:r>
    </w:p>
    <w:p>
      <w:pPr>
        <w:spacing w:before="0" w:after="240" w:line="276" w:lineRule="auto"/>
      </w:pPr>
      <w:r>
        <w:rPr>
          <w:b/>
        </w:rPr>
        <w:t xml:space="preserve">Alternatives: </w:t>
      </w:r>
      <w:r>
        <w:t>Journal of Cardiopulmonary Rehabilitation and Prevention (IF 2.8); Heart (IF 6.1); BMC Cardiovascular Disorders (IF 2.3, OA)</w:t>
      </w:r>
    </w:p>
    <w:p>
      <w:pPr>
        <w:pStyle w:val="Heading2"/>
      </w:pPr>
      <w:r>
        <w:t>Paper 6: Clinical Trial Individual</w:t>
      </w:r>
    </w:p>
    <w:p>
      <w:pPr>
        <w:spacing w:before="0" w:after="60" w:line="276" w:lineRule="auto"/>
      </w:pPr>
      <w:r>
        <w:rPr>
          <w:b/>
        </w:rPr>
        <w:t xml:space="preserve">Primary target: </w:t>
      </w:r>
      <w:r>
        <w:t>BMC Medical Research Methodology</w:t>
      </w:r>
    </w:p>
    <w:p>
      <w:pPr>
        <w:spacing w:before="0" w:after="60" w:line="276" w:lineRule="auto"/>
      </w:pPr>
      <w:r>
        <w:rPr>
          <w:b/>
        </w:rPr>
        <w:t xml:space="preserve">Rationale: </w:t>
      </w:r>
      <w:r>
        <w:t>Direct extension of McChrystal 2025 (published here); methodological focus; IF 4.0</w:t>
      </w:r>
    </w:p>
    <w:p>
      <w:pPr>
        <w:spacing w:before="0" w:after="240" w:line="276" w:lineRule="auto"/>
      </w:pPr>
      <w:r>
        <w:rPr>
          <w:b/>
        </w:rPr>
        <w:t xml:space="preserve">Alternatives: </w:t>
      </w:r>
      <w:r>
        <w:t>Clinical Trials (IF 2.3); Statistical Methods in Medical Research (IF 2.3); Trials (IF 2.5, OA)</w:t>
      </w:r>
    </w:p>
    <w:p>
      <w:pPr>
        <w:pStyle w:val="Heading2"/>
      </w:pPr>
      <w:r>
        <w:t>Paper 7: Five-Domain Comparison</w:t>
      </w:r>
    </w:p>
    <w:p>
      <w:pPr>
        <w:spacing w:before="0" w:after="60" w:line="276" w:lineRule="auto"/>
      </w:pPr>
      <w:r>
        <w:rPr>
          <w:b/>
        </w:rPr>
        <w:t xml:space="preserve">Primary target: </w:t>
      </w:r>
      <w:r>
        <w:t>PLOS ONE</w:t>
      </w:r>
    </w:p>
    <w:p>
      <w:pPr>
        <w:spacing w:before="0" w:after="60" w:line="276" w:lineRule="auto"/>
      </w:pPr>
      <w:r>
        <w:rPr>
          <w:b/>
        </w:rPr>
        <w:t xml:space="preserve">Rationale: </w:t>
      </w:r>
      <w:r>
        <w:t>Broad scope accepts cross-domain studies; high visibility; IF 3.7; APC $1,931</w:t>
      </w:r>
    </w:p>
    <w:p>
      <w:pPr>
        <w:spacing w:before="0" w:after="240" w:line="276" w:lineRule="auto"/>
      </w:pPr>
      <w:r>
        <w:rPr>
          <w:b/>
        </w:rPr>
        <w:t xml:space="preserve">Alternatives: </w:t>
      </w:r>
      <w:r>
        <w:t>BMJ Open (IF 3.0); Scientific Reports (IF 4.6); International Journal of Environmental Research and Public Health (IF 4.6)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