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276" w:lineRule="auto"/>
        <w:jc w:val="center"/>
      </w:pPr>
      <w:r>
        <w:rPr>
          <w:b/>
          <w:sz w:val="28"/>
        </w:rPr>
        <w:t>Universal Decreasing Failure Rate in Open-Ended Clinical Treatments:</w:t>
        <w:br/>
        <w:t>A Five-Domain Weibull Reliability Comparative Analysis</w:t>
      </w:r>
    </w:p>
    <w:p>
      <w:pPr>
        <w:spacing w:before="0" w:after="120" w:line="276" w:lineRule="auto"/>
        <w:jc w:val="center"/>
      </w:pPr>
      <w:r>
        <w:rPr>
          <w:sz w:val="22"/>
        </w:rPr>
        <w:t>Tatsuki Onishi</w:t>
      </w:r>
    </w:p>
    <w:p>
      <w:pPr>
        <w:spacing w:before="0" w:after="360" w:line="276" w:lineRule="auto"/>
        <w:jc w:val="center"/>
      </w:pPr>
      <w:r>
        <w:rPr>
          <w:i/>
          <w:sz w:val="18"/>
        </w:rPr>
        <w:t>Corresponding author: Tatsuki Onishi (bougtoir@gmail.com)</w:t>
      </w:r>
    </w:p>
    <w:p>
      <w:pPr>
        <w:pStyle w:val="Heading1"/>
      </w:pPr>
      <w:r>
        <w:t>Abstract</w:t>
      </w:r>
    </w:p>
    <w:p>
      <w:pPr>
        <w:spacing w:before="0" w:after="120" w:line="276" w:lineRule="auto"/>
      </w:pPr>
      <w:r>
        <w:t>Background: Treatment dropout in open-ended clinical therapies may follow a common temporal pattern. We hypothesised that the Weibull shape parameter k consistently falls below 1 (decreasing failure rate) across diverse clinical domains.</w:t>
      </w:r>
      <w:r>
        <w:rPr>
          <w:sz w:val="16"/>
          <w:vertAlign w:val="superscript"/>
        </w:rPr>
        <w:t>1,2</w:t>
      </w:r>
      <w:r/>
    </w:p>
    <w:p>
      <w:pPr>
        <w:spacing w:before="0" w:after="120" w:line="276" w:lineRule="auto"/>
      </w:pPr>
      <w:r>
        <w:t>Methods: Two-parameter Weibull distributions were fitted to 27 retention datasets across five open-ended treatment domains: HIV/ART (5 regions, N=516,000), antipsychotic medication (6 datasets, N=63,682), substance use disorder (6 modalities, N=75,000), cardiac rehabilitation (5 phases, N=34,200), and clinical trials (5 areas, N=99,000). Total N=787,882. Bootstrap 95% CIs from 1,000 resamples.</w:t>
      </w:r>
    </w:p>
    <w:p>
      <w:pPr>
        <w:spacing w:before="0" w:after="120" w:line="276" w:lineRule="auto"/>
      </w:pPr>
      <w:r>
        <w:t>Results: All 27 datasets yielded k &lt; 1 (range: 0.511-0.958, median 0.689), confirming universal DFR. Model fit was excellent (R² median 0.9970). Domain-level mean k: HIV/ART 0.597, antipsychotic 0.857, substance use 0.639, cardiac rehab 0.689, clinical trials 0.708.</w:t>
      </w:r>
    </w:p>
    <w:p>
      <w:pPr>
        <w:spacing w:before="0" w:after="240" w:line="276" w:lineRule="auto"/>
      </w:pPr>
      <w:r>
        <w:t>Conclusions: Open-ended clinical treatments universally exhibit DFR, indicating dropout risk is highest in the early treatment period. This supports front-loading retention interventions.</w:t>
      </w:r>
    </w:p>
    <w:p>
      <w:pPr>
        <w:spacing w:before="0" w:after="360" w:line="276" w:lineRule="auto"/>
      </w:pPr>
      <w:r>
        <w:rPr>
          <w:b/>
        </w:rPr>
        <w:t xml:space="preserve">Keywords: </w:t>
      </w:r>
      <w:r>
        <w:t>Weibull distribution; reliability engineering; treatment dropout; decreasing failure rate; hazard function; HIV/ART; antipsychotic; substance use; cardiac rehabilitation; clinical trials</w:t>
      </w:r>
    </w:p>
    <w:p>
      <w:pPr>
        <w:pStyle w:val="Heading1"/>
      </w:pPr>
      <w:r>
        <w:t>1. Introduction</w:t>
      </w:r>
    </w:p>
    <w:p>
      <w:pPr>
        <w:spacing w:before="0" w:after="120" w:line="276" w:lineRule="auto"/>
      </w:pPr>
      <w:r>
        <w:t>Treatment dropout is the rate-limiting step in clinical care effectiveness.</w:t>
      </w:r>
      <w:r>
        <w:rPr>
          <w:sz w:val="16"/>
          <w:vertAlign w:val="superscript"/>
        </w:rPr>
        <w:t>3,4</w:t>
      </w:r>
      <w:r>
        <w:t xml:space="preserve"> While risk factors have been extensively catalogued, the temporal shape of the dropout hazard — whether it increases, decreases, or remains constant — has been studied piecemeal within individual domains but never compared systematically across domains.</w:t>
      </w:r>
      <w:r>
        <w:rPr>
          <w:sz w:val="16"/>
          <w:vertAlign w:val="superscript"/>
        </w:rPr>
        <w:t>5</w:t>
      </w:r>
      <w:r/>
    </w:p>
    <w:p>
      <w:pPr>
        <w:spacing w:before="0" w:after="240" w:line="276" w:lineRule="auto"/>
      </w:pPr>
      <w:r>
        <w:t>The Weibull distribution from reliability engineering</w:t>
      </w:r>
      <w:r>
        <w:rPr>
          <w:sz w:val="16"/>
          <w:vertAlign w:val="superscript"/>
        </w:rPr>
        <w:t>1,2</w:t>
      </w:r>
      <w:r>
        <w:t xml:space="preserve"> provides a parsimonious parametric model for time-to-event data, with the shape parameter k directly encoding hazard trajectory. We applied this framework to five major clinical domains to test the hypothesis of a universal decreasing failure rate (DFR) pattern in open-ended treatments and to characterise domain-specific hazard signatures.</w:t>
      </w:r>
    </w:p>
    <w:p>
      <w:pPr>
        <w:pStyle w:val="Heading1"/>
      </w:pPr>
      <w:r>
        <w:t>2. Methods</w:t>
      </w:r>
    </w:p>
    <w:p>
      <w:pPr>
        <w:spacing w:before="0" w:after="240" w:line="276" w:lineRule="auto"/>
      </w:pPr>
      <w:r>
        <w:t>Retention data were reconstructed from published Kaplan-Meier curves across five domains. The Weibull survival function S(t) = exp(-(t/λ)^k) was fitted by linearised regression and Nelder-Mead optimisation. Bootstrap 95% CIs from 1,000 resamples. Goodness-of-fit assessed by R², KS statistic, and Weibull probability plots.</w:t>
      </w:r>
    </w:p>
    <w:p>
      <w:pPr>
        <w:pStyle w:val="Heading1"/>
      </w:pPr>
      <w:r>
        <w:t>3. Results</w:t>
      </w:r>
    </w:p>
    <w:p>
      <w:pPr>
        <w:spacing w:before="0" w:after="120" w:line="276" w:lineRule="auto"/>
      </w:pPr>
      <w:r>
        <w:t>All 27 datasets across all five domains yielded k &lt; 1 (Table 1, Fig. 1). The Weibull model showed excellent fit (R² median 0.9970, range 0.9807-0.9997).</w:t>
      </w:r>
    </w:p>
    <w:p>
      <w:pPr>
        <w:spacing w:before="0" w:after="240" w:line="276" w:lineRule="auto"/>
      </w:pPr>
      <w:r>
        <w:rPr>
          <w:b/>
        </w:rPr>
        <w:t xml:space="preserve">Table 1. </w:t>
      </w:r>
      <w:r>
        <w:t>Weibull shape parameter (k) by domain.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No. datasets</w:t>
            </w:r>
          </w:p>
        </w:tc>
        <w:tc>
          <w:tcPr>
            <w:tcW w:type="dxa" w:w="1872"/>
          </w:tcPr>
          <w:p>
            <w:r>
              <w:rPr>
                <w:b/>
              </w:rPr>
              <w:t>Total N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Mean k (range)</w:t>
            </w:r>
          </w:p>
        </w:tc>
        <w:tc>
          <w:tcPr>
            <w:tcW w:type="dxa" w:w="1872"/>
          </w:tcPr>
          <w:p>
            <w:r>
              <w:rPr>
                <w:b/>
              </w:rPr>
              <w:t>Median R²</w:t>
            </w:r>
          </w:p>
        </w:tc>
      </w:tr>
      <w:tr>
        <w:tc>
          <w:tcPr>
            <w:tcW w:type="dxa" w:w="1872"/>
          </w:tcPr>
          <w:p>
            <w:r>
              <w:t>HIV/ART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516,000</w:t>
            </w:r>
          </w:p>
        </w:tc>
        <w:tc>
          <w:tcPr>
            <w:tcW w:type="dxa" w:w="1872"/>
          </w:tcPr>
          <w:p>
            <w:r>
              <w:t>0.597 (0.582-0.627)</w:t>
            </w:r>
          </w:p>
        </w:tc>
        <w:tc>
          <w:tcPr>
            <w:tcW w:type="dxa" w:w="1872"/>
          </w:tcPr>
          <w:p>
            <w:r>
              <w:t>0.9989</w:t>
            </w:r>
          </w:p>
        </w:tc>
      </w:tr>
      <w:tr>
        <w:tc>
          <w:tcPr>
            <w:tcW w:type="dxa" w:w="1872"/>
          </w:tcPr>
          <w:p>
            <w:r>
              <w:t>Antipsychotic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63,682</w:t>
            </w:r>
          </w:p>
        </w:tc>
        <w:tc>
          <w:tcPr>
            <w:tcW w:type="dxa" w:w="1872"/>
          </w:tcPr>
          <w:p>
            <w:r>
              <w:t>0.857 (0.683-0.958)</w:t>
            </w:r>
          </w:p>
        </w:tc>
        <w:tc>
          <w:tcPr>
            <w:tcW w:type="dxa" w:w="1872"/>
          </w:tcPr>
          <w:p>
            <w:r>
              <w:t>0.9969</w:t>
            </w:r>
          </w:p>
        </w:tc>
      </w:tr>
      <w:tr>
        <w:tc>
          <w:tcPr>
            <w:tcW w:type="dxa" w:w="1872"/>
          </w:tcPr>
          <w:p>
            <w:r>
              <w:t>Substance Use</w:t>
            </w:r>
          </w:p>
        </w:tc>
        <w:tc>
          <w:tcPr>
            <w:tcW w:type="dxa" w:w="1872"/>
          </w:tcPr>
          <w:p>
            <w:r>
              <w:t>6</w:t>
            </w:r>
          </w:p>
        </w:tc>
        <w:tc>
          <w:tcPr>
            <w:tcW w:type="dxa" w:w="1872"/>
          </w:tcPr>
          <w:p>
            <w:r>
              <w:t>75,000</w:t>
            </w:r>
          </w:p>
        </w:tc>
        <w:tc>
          <w:tcPr>
            <w:tcW w:type="dxa" w:w="1872"/>
          </w:tcPr>
          <w:p>
            <w:r>
              <w:t>0.639 (0.511-0.733)</w:t>
            </w:r>
          </w:p>
        </w:tc>
        <w:tc>
          <w:tcPr>
            <w:tcW w:type="dxa" w:w="1872"/>
          </w:tcPr>
          <w:p>
            <w:r>
              <w:t>0.9956</w:t>
            </w:r>
          </w:p>
        </w:tc>
      </w:tr>
      <w:tr>
        <w:tc>
          <w:tcPr>
            <w:tcW w:type="dxa" w:w="1872"/>
          </w:tcPr>
          <w:p>
            <w:r>
              <w:t>Cardiac Rehab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34,200</w:t>
            </w:r>
          </w:p>
        </w:tc>
        <w:tc>
          <w:tcPr>
            <w:tcW w:type="dxa" w:w="1872"/>
          </w:tcPr>
          <w:p>
            <w:r>
              <w:t>0.689 (0.613-0.775)</w:t>
            </w:r>
          </w:p>
        </w:tc>
        <w:tc>
          <w:tcPr>
            <w:tcW w:type="dxa" w:w="1872"/>
          </w:tcPr>
          <w:p>
            <w:r>
              <w:t>0.9905</w:t>
            </w:r>
          </w:p>
        </w:tc>
      </w:tr>
      <w:tr>
        <w:tc>
          <w:tcPr>
            <w:tcW w:type="dxa" w:w="1872"/>
          </w:tcPr>
          <w:p>
            <w:r>
              <w:t>Clinical Trial</w:t>
            </w:r>
          </w:p>
        </w:tc>
        <w:tc>
          <w:tcPr>
            <w:tcW w:type="dxa" w:w="1872"/>
          </w:tcPr>
          <w:p>
            <w:r>
              <w:t>5</w:t>
            </w:r>
          </w:p>
        </w:tc>
        <w:tc>
          <w:tcPr>
            <w:tcW w:type="dxa" w:w="1872"/>
          </w:tcPr>
          <w:p>
            <w:r>
              <w:t>99,000</w:t>
            </w:r>
          </w:p>
        </w:tc>
        <w:tc>
          <w:tcPr>
            <w:tcW w:type="dxa" w:w="1872"/>
          </w:tcPr>
          <w:p>
            <w:r>
              <w:t>0.708 (0.679-0.742)</w:t>
            </w:r>
          </w:p>
        </w:tc>
        <w:tc>
          <w:tcPr>
            <w:tcW w:type="dxa" w:w="1872"/>
          </w:tcPr>
          <w:p>
            <w:r>
              <w:t>0.9983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5943600" cy="42280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cross_domain_k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80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1. </w:t>
      </w:r>
      <w:r>
        <w:t>Cross-domain k comparison with 95% CIs. All 27 datasets fall below k=1.</w:t>
      </w:r>
    </w:p>
    <w:p>
      <w:r>
        <w:drawing>
          <wp:inline xmlns:a="http://schemas.openxmlformats.org/drawingml/2006/main" xmlns:pic="http://schemas.openxmlformats.org/drawingml/2006/picture">
            <wp:extent cx="5943600" cy="38333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hazard_taxonom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3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 w:line="276" w:lineRule="auto"/>
      </w:pPr>
      <w:r>
        <w:rPr>
          <w:b/>
        </w:rPr>
        <w:t xml:space="preserve">Fig. 2. </w:t>
      </w:r>
      <w:r>
        <w:t>Hazard taxonomy: domain-specific hazard functions.</w:t>
      </w:r>
    </w:p>
    <w:p>
      <w:pPr>
        <w:pStyle w:val="Heading1"/>
      </w:pPr>
      <w:r>
        <w:t>4. Discussion</w:t>
      </w:r>
    </w:p>
    <w:p>
      <w:pPr>
        <w:spacing w:before="0" w:after="120" w:line="276" w:lineRule="auto"/>
      </w:pPr>
      <w:r>
        <w:t>The universality of DFR across five diverse open-ended treatment domains, encompassing 27 datasets and 787,882 patients, is the central finding. This pattern is consistent with a population-level selection mechanism: patients with the highest intrinsic dropout propensity leave earliest, progressively "hardening" the remaining cohort — the reliability engineering "burn-in" effect.</w:t>
      </w:r>
      <w:r>
        <w:rPr>
          <w:sz w:val="16"/>
          <w:vertAlign w:val="superscript"/>
        </w:rPr>
        <w:t>2,6</w:t>
      </w:r>
      <w:r/>
    </w:p>
    <w:p>
      <w:pPr>
        <w:spacing w:before="0" w:after="240" w:line="276" w:lineRule="auto"/>
      </w:pPr>
      <w:r>
        <w:t>The domain-specific k hierarchy (antipsychotic &gt; clinical trial &gt; cardiac rehab &gt; substance use &gt; HIV/ART) reflects the gradient from near-constant hazard to steep early dropout. This ordering is clinically interpretable and provides quantitative guidance for the intensity and timing of retention interventions.</w:t>
      </w:r>
    </w:p>
    <w:p>
      <w:pPr>
        <w:pStyle w:val="Heading1"/>
      </w:pPr>
      <w:r>
        <w:t>5. Conclusions</w:t>
      </w:r>
    </w:p>
    <w:p>
      <w:pPr>
        <w:spacing w:before="0" w:after="240" w:line="276" w:lineRule="auto"/>
      </w:pPr>
      <w:r>
        <w:t>Open-ended clinical treatments universally follow a DFR pattern. The reliability engineering Weibull framework provides a quantitative basis for front-loading retention interventions during the period of maximum dropout vulnerability.</w:t>
      </w:r>
    </w:p>
    <w:p>
      <w:pPr>
        <w:pStyle w:val="Heading1"/>
      </w:pPr>
      <w:r>
        <w:t>References</w:t>
      </w:r>
    </w:p>
    <w:p>
      <w:pPr>
        <w:spacing w:before="0" w:after="40" w:line="276" w:lineRule="auto"/>
      </w:pPr>
      <w:r>
        <w:t>1. Weibull W. A statistical distribution function of wide applicability. J Appl Mech. 1951;18(3):293-297.</w:t>
      </w:r>
    </w:p>
    <w:p>
      <w:pPr>
        <w:spacing w:before="0" w:after="40" w:line="276" w:lineRule="auto"/>
      </w:pPr>
      <w:r>
        <w:t>2. Abernethy RB. The New Weibull Handbook. 5th ed. North Palm Beach, FL: Robert B. Abernethy; 2006.</w:t>
      </w:r>
    </w:p>
    <w:p>
      <w:pPr>
        <w:spacing w:before="0" w:after="40" w:line="276" w:lineRule="auto"/>
      </w:pPr>
      <w:r>
        <w:t>3. World Health Organization. Adherence to long-term therapies: evidence for action. Geneva: WHO; 2003.</w:t>
      </w:r>
    </w:p>
    <w:p>
      <w:pPr>
        <w:spacing w:before="0" w:after="40" w:line="276" w:lineRule="auto"/>
      </w:pPr>
      <w:r>
        <w:t>4. Osterberg L, Blaschke T. Adherence to medication. N Engl J Med. 2005;353(5):487-497.</w:t>
      </w:r>
    </w:p>
    <w:p>
      <w:pPr>
        <w:spacing w:before="0" w:after="40" w:line="276" w:lineRule="auto"/>
      </w:pPr>
      <w:r>
        <w:t>5. Cox DR. Regression models and life-tables. J R Stat Soc Series B. 1972;34(2):187-220.</w:t>
      </w:r>
    </w:p>
    <w:p>
      <w:pPr>
        <w:spacing w:before="0" w:after="40" w:line="276" w:lineRule="auto"/>
      </w:pPr>
      <w:r>
        <w:t>6. Vaupel JW, Manton KG, Stallard E. The impact of heterogeneity in individual frailty on the dynamics of mortality. Demography. 1979;16(3):439-454.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