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オープンエンド臨床治療における普遍的減少型故障率：</w:t>
        <w:br/>
        <w:t>5領域ワイブル信頼性比較解析</w:t>
      </w:r>
    </w:p>
    <w:p>
      <w:pPr>
        <w:spacing w:before="0" w:after="120" w:line="276" w:lineRule="auto"/>
        <w:jc w:val="center"/>
      </w:pPr>
      <w:r>
        <w:rPr>
          <w:sz w:val="22"/>
        </w:rPr>
        <w:t>大西 辰樹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責任著者: 大西 辰樹 (bougtoir@gmail.com)</w:t>
      </w:r>
    </w:p>
    <w:p>
      <w:pPr>
        <w:pStyle w:val="Heading1"/>
      </w:pPr>
      <w:r>
        <w:t>抄録</w:t>
      </w:r>
    </w:p>
    <w:p>
      <w:pPr>
        <w:spacing w:before="0" w:after="120" w:line="276" w:lineRule="auto"/>
      </w:pPr>
      <w:r>
        <w:t>背景: オープンエンド臨床治療における脱落が共通の時間的パターンに従うか検証した。</w:t>
      </w:r>
    </w:p>
    <w:p>
      <w:pPr>
        <w:spacing w:before="0" w:after="120" w:line="276" w:lineRule="auto"/>
      </w:pPr>
      <w:r>
        <w:t>方法: 5領域27データセット（HIV/ART 5、抗精神病薬 6、物質使用障害 6、心臓リハ 5、臨床試験 5）の維持データにワイブル分布を適合。合計N=787,882。</w:t>
      </w:r>
    </w:p>
    <w:p>
      <w:pPr>
        <w:spacing w:before="0" w:after="120" w:line="276" w:lineRule="auto"/>
      </w:pPr>
      <w:r>
        <w:t>結果: 全27データセットでk &lt; 1（範囲: 0.511-0.958、中央値0.689）。普遍的DFRパターンが確認された。R²中央値0.9970。</w:t>
      </w:r>
    </w:p>
    <w:p>
      <w:pPr>
        <w:spacing w:before="0" w:after="240" w:line="276" w:lineRule="auto"/>
      </w:pPr>
      <w:r>
        <w:t>結論: オープンエンド臨床治療は普遍的にDFRパターンに従う。初期治療期間への維持介入前倒しを支持。</w:t>
      </w:r>
    </w:p>
    <w:p>
      <w:pPr>
        <w:spacing w:before="0" w:after="360" w:line="276" w:lineRule="auto"/>
      </w:pPr>
      <w:r>
        <w:rPr>
          <w:b/>
        </w:rPr>
        <w:t xml:space="preserve">キーワード: </w:t>
      </w:r>
      <w:r>
        <w:t>ワイブル分布; 信頼性工学; 治療脱落; 減少型故障率; HIV/ART; 抗精神病薬; 物質使用障害; 心臓リハ; 臨床試験</w:t>
      </w:r>
    </w:p>
    <w:p>
      <w:pPr>
        <w:pStyle w:val="Heading1"/>
      </w:pPr>
      <w:r>
        <w:t>結果</w:t>
      </w:r>
    </w:p>
    <w:p>
      <w:pPr>
        <w:spacing w:before="0" w:after="240" w:line="276" w:lineRule="auto"/>
      </w:pPr>
      <w:r>
        <w:rPr>
          <w:b/>
        </w:rPr>
        <w:t xml:space="preserve">表 1. </w:t>
      </w:r>
      <w:r>
        <w:t>ワイブル形状パラメータ(k)の領域別要約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領域</w:t>
            </w:r>
          </w:p>
        </w:tc>
        <w:tc>
          <w:tcPr>
            <w:tcW w:type="dxa" w:w="1872"/>
          </w:tcPr>
          <w:p>
            <w:r>
              <w:rPr>
                <w:b/>
              </w:rPr>
              <w:t>データセット数</w:t>
            </w:r>
          </w:p>
        </w:tc>
        <w:tc>
          <w:tcPr>
            <w:tcW w:type="dxa" w:w="1872"/>
          </w:tcPr>
          <w:p>
            <w:r>
              <w:rPr>
                <w:b/>
              </w:rPr>
              <w:t>合計N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平均k（範囲）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R²中央値</w:t>
            </w:r>
          </w:p>
        </w:tc>
      </w:tr>
      <w:tr>
        <w:tc>
          <w:tcPr>
            <w:tcW w:type="dxa" w:w="1872"/>
          </w:tcPr>
          <w:p>
            <w:r>
              <w:t>HIV/ART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516,000</w:t>
            </w:r>
          </w:p>
        </w:tc>
        <w:tc>
          <w:tcPr>
            <w:tcW w:type="dxa" w:w="1872"/>
          </w:tcPr>
          <w:p>
            <w:r>
              <w:t>0.597 (0.582-0.627)</w:t>
            </w:r>
          </w:p>
        </w:tc>
        <w:tc>
          <w:tcPr>
            <w:tcW w:type="dxa" w:w="1872"/>
          </w:tcPr>
          <w:p>
            <w:r>
              <w:t>0.9989</w:t>
            </w:r>
          </w:p>
        </w:tc>
      </w:tr>
      <w:tr>
        <w:tc>
          <w:tcPr>
            <w:tcW w:type="dxa" w:w="1872"/>
          </w:tcPr>
          <w:p>
            <w:r>
              <w:t>抗精神病薬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63,682</w:t>
            </w:r>
          </w:p>
        </w:tc>
        <w:tc>
          <w:tcPr>
            <w:tcW w:type="dxa" w:w="1872"/>
          </w:tcPr>
          <w:p>
            <w:r>
              <w:t>0.857 (0.683-0.958)</w:t>
            </w:r>
          </w:p>
        </w:tc>
        <w:tc>
          <w:tcPr>
            <w:tcW w:type="dxa" w:w="1872"/>
          </w:tcPr>
          <w:p>
            <w:r>
              <w:t>0.9969</w:t>
            </w:r>
          </w:p>
        </w:tc>
      </w:tr>
      <w:tr>
        <w:tc>
          <w:tcPr>
            <w:tcW w:type="dxa" w:w="1872"/>
          </w:tcPr>
          <w:p>
            <w:r>
              <w:t>物質使用障害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75,000</w:t>
            </w:r>
          </w:p>
        </w:tc>
        <w:tc>
          <w:tcPr>
            <w:tcW w:type="dxa" w:w="1872"/>
          </w:tcPr>
          <w:p>
            <w:r>
              <w:t>0.639 (0.511-0.733)</w:t>
            </w:r>
          </w:p>
        </w:tc>
        <w:tc>
          <w:tcPr>
            <w:tcW w:type="dxa" w:w="1872"/>
          </w:tcPr>
          <w:p>
            <w:r>
              <w:t>0.9956</w:t>
            </w:r>
          </w:p>
        </w:tc>
      </w:tr>
      <w:tr>
        <w:tc>
          <w:tcPr>
            <w:tcW w:type="dxa" w:w="1872"/>
          </w:tcPr>
          <w:p>
            <w:r>
              <w:t>心臓リハビリ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34,200</w:t>
            </w:r>
          </w:p>
        </w:tc>
        <w:tc>
          <w:tcPr>
            <w:tcW w:type="dxa" w:w="1872"/>
          </w:tcPr>
          <w:p>
            <w:r>
              <w:t>0.689 (0.613-0.775)</w:t>
            </w:r>
          </w:p>
        </w:tc>
        <w:tc>
          <w:tcPr>
            <w:tcW w:type="dxa" w:w="1872"/>
          </w:tcPr>
          <w:p>
            <w:r>
              <w:t>0.9905</w:t>
            </w:r>
          </w:p>
        </w:tc>
      </w:tr>
      <w:tr>
        <w:tc>
          <w:tcPr>
            <w:tcW w:type="dxa" w:w="1872"/>
          </w:tcPr>
          <w:p>
            <w:r>
              <w:t>臨床試験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99,000</w:t>
            </w:r>
          </w:p>
        </w:tc>
        <w:tc>
          <w:tcPr>
            <w:tcW w:type="dxa" w:w="1872"/>
          </w:tcPr>
          <w:p>
            <w:r>
              <w:t>0.708 (0.679-0.742)</w:t>
            </w:r>
          </w:p>
        </w:tc>
        <w:tc>
          <w:tcPr>
            <w:tcW w:type="dxa" w:w="1872"/>
          </w:tcPr>
          <w:p>
            <w:r>
              <w:t>0.9983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4228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ross_domain_k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図1. </w:t>
      </w:r>
      <w:r>
        <w:t>5領域間k値比較。全27データセットがk&lt;1。</w:t>
      </w:r>
    </w:p>
    <w:p>
      <w:r>
        <w:drawing>
          <wp:inline xmlns:a="http://schemas.openxmlformats.org/drawingml/2006/main" xmlns:pic="http://schemas.openxmlformats.org/drawingml/2006/picture">
            <wp:extent cx="5943600" cy="3833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hazard_tax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図2. </w:t>
      </w:r>
      <w:r>
        <w:t>ハザードパターン分類学。</w:t>
      </w:r>
    </w:p>
    <w:p>
      <w:pPr>
        <w:pStyle w:val="Heading1"/>
      </w:pPr>
      <w:r>
        <w:t>結論</w:t>
      </w:r>
    </w:p>
    <w:p>
      <w:pPr>
        <w:spacing w:before="0" w:after="240" w:line="276" w:lineRule="auto"/>
      </w:pPr>
      <w:r>
        <w:t>オープンエンド臨床治療は5領域27データセットにわたり普遍的DFRパターンに従う。信頼性工学フレームワークは維持介入の前倒し集中配分の定量的基盤を提供する。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