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Weibull Reliability Analysis of Clinical Treatment Dropout:</w:t>
        <w:br/>
        <w:t>A Six-Domain Comparative Study Revealing the Fixed-Duration</w:t>
        <w:br/>
        <w:t>versus Open-Ended Treatment Hazard Dichotomy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Treatment dropout is a universal challenge across clinical domains, yet the temporal dynamics of dropout hazard are rarely compared systematically. The Weibull distribution from reliability engineering characterises hazard patterns through shape parameter k (k &lt; 1: decreasing failure rate [DFR]; k = 1: constant; k &gt; 1: increasing failure rate [IFR]).</w:t>
      </w:r>
      <w:r>
        <w:rPr>
          <w:sz w:val="16"/>
          <w:vertAlign w:val="superscript"/>
        </w:rPr>
        <w:t>1,2</w:t>
      </w:r>
      <w:r/>
    </w:p>
    <w:p>
      <w:pPr>
        <w:spacing w:before="0" w:after="120" w:line="276" w:lineRule="auto"/>
      </w:pPr>
      <w:r>
        <w:t>Methods: We fitted two-parameter Weibull distributions to retention data from six clinical domains: (1) tuberculosis treatment dropout (5 national programmes, N = 139,470, k = 1.22-1.31),</w:t>
      </w:r>
      <w:r>
        <w:rPr>
          <w:sz w:val="16"/>
          <w:vertAlign w:val="superscript"/>
        </w:rPr>
        <w:t>3</w:t>
      </w:r>
      <w:r>
        <w:t xml:space="preserve"> (2) HIV/ART discontinuation (5 regions, N = 516,000), (3) antipsychotic discontinuation in schizophrenia (6 datasets, N = 63,682), (4) substance use disorder treatment (6 modalities, N = 75,000), (5) cardiac rehabilitation (5 phases, N = 34,200), and (6) clinical trial dropout (5 areas, N = 99,000). Total: 32 datasets, N = 927,352.</w:t>
      </w:r>
    </w:p>
    <w:p>
      <w:pPr>
        <w:spacing w:before="0" w:after="120" w:line="276" w:lineRule="auto"/>
      </w:pPr>
      <w:r>
        <w:t>Results: A striking dichotomy emerged. Tuberculosis, a fixed-duration treatment (6 months), showed IFR (k = 1.22-1.31): dropout risk increases over time. All five open-ended treatment domains showed universal DFR (k = 0.511-0.958): dropout risk is highest early and decreases monotonically. R² range: 0.9807-0.9997. Domain-level mean k values: TB 1.26 (IFR), HIV/ART 0.597, antipsychotic 0.857, substance use 0.639, cardiac rehab 0.689, clinical trials 0.708 (all DFR).</w:t>
      </w:r>
    </w:p>
    <w:p>
      <w:pPr>
        <w:spacing w:before="0" w:after="240" w:line="276" w:lineRule="auto"/>
      </w:pPr>
      <w:r>
        <w:t>Conclusions: Treatment duration structure determines hazard pattern directionality. Fixed-duration treatments produce IFR (cumulative fatigue), while open-ended treatments produce DFR (early selection). This dichotomy has direct implications for intervention timing: front-loading for open-ended treatments, sustained support for fixed-duration treatments.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treatment dropout; tuberculosis; HIV/ART; antipsychotic; substance use; cardiac rehabilitation; clinical trials; hazard function; fixed-duration; open-ended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Treatment dropout affects every clinical domain, from infectious disease management to chronic disease care and clinical research.</w:t>
      </w:r>
      <w:r>
        <w:rPr>
          <w:sz w:val="16"/>
          <w:vertAlign w:val="superscript"/>
        </w:rPr>
        <w:t>4,5</w:t>
      </w:r>
      <w:r>
        <w:t xml:space="preserve"> While traditional survival analysis identifies risk factors, it rarely addresses the fundamental question of whether dropout hazard increases, decreases, or remains constant over time — information critical for optimising intervention timing.</w:t>
      </w:r>
    </w:p>
    <w:p>
      <w:pPr>
        <w:spacing w:before="0" w:after="240" w:line="276" w:lineRule="auto"/>
      </w:pPr>
      <w:r>
        <w:t>The Weibull distribution from reliability engineering provides a parametric framework for characterising time-varying hazard through shape parameter k.</w:t>
      </w:r>
      <w:r>
        <w:rPr>
          <w:sz w:val="16"/>
          <w:vertAlign w:val="superscript"/>
        </w:rPr>
        <w:t>1,2</w:t>
      </w:r>
      <w:r>
        <w:t xml:space="preserve"> We previously applied this framework to tuberculosis treatment dropout, finding k &gt; 1 (IFR pattern).</w:t>
      </w:r>
      <w:r>
        <w:rPr>
          <w:sz w:val="16"/>
          <w:vertAlign w:val="superscript"/>
        </w:rPr>
        <w:t>3</w:t>
      </w:r>
      <w:r>
        <w:t xml:space="preserve"> The present study extends the analysis to five additional clinical domains to test whether a universal hazard pattern exists or whether domain-specific signatures emerge. The inclusion of both fixed-duration (TB: 6 months) and open-ended treatments enables testing a novel hypothesis: that treatment duration structure determines hazard pattern directionality.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Retention/survival data were reconstructed from published Kaplan-Meier curves across six clinical domains. The two-parameter Weibull survival function S(t) = exp(-(t/λ)^k) was fitted by linearised regression followed by Nelder-Mead optimisation. Bootstrap 95% CIs were computed from 1,000 resamples. TB data are from our previous analysis.</w:t>
      </w:r>
      <w:r>
        <w:rPr>
          <w:sz w:val="16"/>
          <w:vertAlign w:val="superscript"/>
        </w:rPr>
        <w:t>3</w:t>
      </w:r>
      <w:r/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The central finding is a clear dichotomy between fixed-duration and open-ended treatments (Table 1, Fig. 1).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hazard patterns across six clinical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Treatment type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No. datasets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Mean k (range)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Hazard pattern</w:t>
            </w:r>
          </w:p>
        </w:tc>
      </w:tr>
      <w:tr>
        <w:tc>
          <w:tcPr>
            <w:tcW w:type="dxa" w:w="1560"/>
          </w:tcPr>
          <w:p>
            <w:r>
              <w:t>Tuberculosis</w:t>
            </w:r>
          </w:p>
        </w:tc>
        <w:tc>
          <w:tcPr>
            <w:tcW w:type="dxa" w:w="1560"/>
          </w:tcPr>
          <w:p>
            <w:r>
              <w:t>Fixed (6 months)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139,470</w:t>
            </w:r>
          </w:p>
        </w:tc>
        <w:tc>
          <w:tcPr>
            <w:tcW w:type="dxa" w:w="1560"/>
          </w:tcPr>
          <w:p>
            <w:r>
              <w:t>1.26 (1.22-1.31)</w:t>
            </w:r>
          </w:p>
        </w:tc>
        <w:tc>
          <w:tcPr>
            <w:tcW w:type="dxa" w:w="1560"/>
          </w:tcPr>
          <w:p>
            <w:r>
              <w:t>IFR (increasing)</w:t>
            </w:r>
          </w:p>
        </w:tc>
      </w:tr>
      <w:tr>
        <w:tc>
          <w:tcPr>
            <w:tcW w:type="dxa" w:w="1560"/>
          </w:tcPr>
          <w:p>
            <w:r>
              <w:t>HIV/ART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516,000</w:t>
            </w:r>
          </w:p>
        </w:tc>
        <w:tc>
          <w:tcPr>
            <w:tcW w:type="dxa" w:w="1560"/>
          </w:tcPr>
          <w:p>
            <w:r>
              <w:t>0.597 (0.582-0.627)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Antipsychotic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63,682</w:t>
            </w:r>
          </w:p>
        </w:tc>
        <w:tc>
          <w:tcPr>
            <w:tcW w:type="dxa" w:w="1560"/>
          </w:tcPr>
          <w:p>
            <w:r>
              <w:t>0.857 (0.683-0.958)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Substance Use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75,000</w:t>
            </w:r>
          </w:p>
        </w:tc>
        <w:tc>
          <w:tcPr>
            <w:tcW w:type="dxa" w:w="1560"/>
          </w:tcPr>
          <w:p>
            <w:r>
              <w:t>0.639 (0.511-0.733)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Cardiac Rehab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34,200</w:t>
            </w:r>
          </w:p>
        </w:tc>
        <w:tc>
          <w:tcPr>
            <w:tcW w:type="dxa" w:w="1560"/>
          </w:tcPr>
          <w:p>
            <w:r>
              <w:t>0.689 (0.613-0.775)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Clinical Trial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99,000</w:t>
            </w:r>
          </w:p>
        </w:tc>
        <w:tc>
          <w:tcPr>
            <w:tcW w:type="dxa" w:w="1560"/>
          </w:tcPr>
          <w:p>
            <w:r>
              <w:t>0.708 (0.679-0.742)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Cross-domain Weibull shape parameter (k) comparison. Five open-ended domains show k &lt; 1 (DFR). TB (not shown, k = 1.22-1.31) is the sole IFR domain.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Hazard pattern taxonomy across five open-ended domains. All show decreasing hazard, with antipsychotic nearest to constant.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The Fixed-Duration vs Open-Ended Dichotomy</w:t>
      </w:r>
    </w:p>
    <w:p>
      <w:pPr>
        <w:spacing w:before="0" w:after="120" w:line="276" w:lineRule="auto"/>
      </w:pPr>
      <w:r>
        <w:t>The most important finding is the clear separation between TB (IFR, k &gt; 1) and all five open-ended domains (DFR, k &lt; 1). This dichotomy has a coherent mechanistic interpretation:</w:t>
        <w:br/>
        <w:br/>
        <w:t>Fixed-duration treatments (TB): Patients face a known 6-month course. Dropout risk increases over time as cumulative treatment burden grows — analogous to "wear-out" in engineering.</w:t>
      </w:r>
      <w:r>
        <w:rPr>
          <w:sz w:val="16"/>
          <w:vertAlign w:val="superscript"/>
        </w:rPr>
        <w:t>3</w:t>
      </w:r>
      <w:r>
        <w:t xml:space="preserve"> Early completers are not selectively "screened out"; rather, the fixed endpoint creates a time-dependent fatigue effect.</w:t>
        <w:br/>
        <w:br/>
        <w:t>Open-ended treatments (HIV/ART, antipsychotic, substance use, cardiac rehab, clinical trials): With no defined endpoint, dropout risk is highest initially and decreases monotonically. This reflects a selection effect: patients with the highest intrinsic dropout propensity leave earliest, "hardening" the remaining cohort — the classic "burn-in" or "infant mortality" phenomenon in reliability theory.</w:t>
      </w:r>
      <w:r>
        <w:rPr>
          <w:sz w:val="16"/>
          <w:vertAlign w:val="superscript"/>
        </w:rPr>
        <w:t>2,6</w:t>
      </w:r>
      <w:r/>
    </w:p>
    <w:p>
      <w:pPr>
        <w:pStyle w:val="Heading2"/>
      </w:pPr>
      <w:r>
        <w:t>4.2 Domain-Specific Hazard Signatures</w:t>
      </w:r>
    </w:p>
    <w:p>
      <w:pPr>
        <w:spacing w:before="0" w:after="120" w:line="276" w:lineRule="auto"/>
      </w:pPr>
      <w:r>
        <w:t>Within the DFR domains, k varies meaningfully. Antipsychotic treatment shows the highest k (mean 0.857), approaching constant hazard, possibly reflecting the chronic relapsing nature of schizophrenia and gradual emergence of metabolic side effects.</w:t>
      </w:r>
      <w:r>
        <w:rPr>
          <w:sz w:val="16"/>
          <w:vertAlign w:val="superscript"/>
        </w:rPr>
        <w:t>7</w:t>
      </w:r>
      <w:r>
        <w:t xml:space="preserve"> HIV/ART (0.597) and substance use (0.639) show the steepest early dropout, consistent with the well-documented initial vulnerability periods.</w:t>
      </w:r>
      <w:r>
        <w:rPr>
          <w:sz w:val="16"/>
          <w:vertAlign w:val="superscript"/>
        </w:rPr>
        <w:t>8,9</w:t>
      </w:r>
      <w:r/>
    </w:p>
    <w:p>
      <w:pPr>
        <w:pStyle w:val="Heading2"/>
      </w:pPr>
      <w:r>
        <w:t>4.3 Implications for Intervention Design</w:t>
      </w:r>
    </w:p>
    <w:p>
      <w:pPr>
        <w:spacing w:before="0" w:after="120" w:line="276" w:lineRule="auto"/>
      </w:pPr>
      <w:r>
        <w:t>The dichotomy provides a simple decision rule for intervention timing:</w:t>
        <w:br/>
        <w:br/>
        <w:t>• Open-ended treatments (k &lt; 1): Front-load retention interventions in the first weeks/months</w:t>
        <w:br/>
        <w:t>• Fixed-duration treatments (k &gt; 1): Sustain or intensify support as treatment progresses</w:t>
        <w:br/>
        <w:br/>
        <w:t>This principle, derived from reliability engineering, offers a quantitative complement to clinical intuition and may generalise to other treatment contexts (e.g., physiotherapy, dialysis, orthodontic treatment).</w:t>
      </w:r>
    </w:p>
    <w:p>
      <w:pPr>
        <w:pStyle w:val="Heading2"/>
      </w:pPr>
      <w:r>
        <w:t>4.4 Limitations</w:t>
      </w:r>
    </w:p>
    <w:p>
      <w:pPr>
        <w:spacing w:before="0" w:after="240" w:line="276" w:lineRule="auto"/>
      </w:pPr>
      <w:r>
        <w:t>Data were reconstructed from published curves rather than individual patient data. The two-parameter Weibull assumes monotonic hazard; non-monotonic patterns require mixture models. Definitions of dropout vary across studies. The TB data are from a separate analysis.</w:t>
      </w:r>
      <w:r>
        <w:rPr>
          <w:sz w:val="16"/>
          <w:vertAlign w:val="superscript"/>
        </w:rPr>
        <w:t>3</w:t>
      </w:r>
      <w:r/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This six-domain study reveals a fundamental dichotomy in clinical treatment dropout: fixed-duration treatments produce increasing failure rate (IFR) while open-ended treatments produce decreasing failure rate (DFR). Across 32 datasets and 927,352 patients, the Weibull framework provides a quantitative basis for phase-specific retention strategies determined by treatment duration structure.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Weibull W. A statistical distribution function of wide applicability. J Appl Mech. 1951;18(3):293-297.</w:t>
      </w:r>
    </w:p>
    <w:p>
      <w:pPr>
        <w:spacing w:before="0" w:after="40" w:line="276" w:lineRule="auto"/>
      </w:pPr>
      <w:r>
        <w:t>2. Abernethy RB. The New Weibull Handbook. 5th ed. North Palm Beach, FL: Robert B. Abernethy; 2006.</w:t>
      </w:r>
    </w:p>
    <w:p>
      <w:pPr>
        <w:spacing w:before="0" w:after="40" w:line="276" w:lineRule="auto"/>
      </w:pPr>
      <w:r>
        <w:t>3. Onishi T. Weibull reliability analysis of tuberculosis treatment dropout: characterising hazard patterns for phase-specific retention interventions. [Manuscript submitted].</w:t>
      </w:r>
    </w:p>
    <w:p>
      <w:pPr>
        <w:spacing w:before="0" w:after="40" w:line="276" w:lineRule="auto"/>
      </w:pPr>
      <w:r>
        <w:t>4. World Health Organization. Adherence to long-term therapies: evidence for action. Geneva: WHO; 2003.</w:t>
      </w:r>
    </w:p>
    <w:p>
      <w:pPr>
        <w:spacing w:before="0" w:after="40" w:line="276" w:lineRule="auto"/>
      </w:pPr>
      <w:r>
        <w:t>5. Osterberg L, Blaschke T. Adherence to medication. N Engl J Med. 2005;353(5):487-497.</w:t>
      </w:r>
    </w:p>
    <w:p>
      <w:pPr>
        <w:spacing w:before="0" w:after="40" w:line="276" w:lineRule="auto"/>
      </w:pPr>
      <w:r>
        <w:t>6. Vaupel JW, Manton KG, Stallard E. The impact of heterogeneity in individual frailty on the dynamics of mortality. Demography. 1979;16(3):439-454.</w:t>
      </w:r>
    </w:p>
    <w:p>
      <w:pPr>
        <w:spacing w:before="0" w:after="40" w:line="276" w:lineRule="auto"/>
      </w:pPr>
      <w:r>
        <w:t>7. Lieberman JA, Stroup TS, McEvoy JP, et al. Effectiveness of antipsychotic drugs in patients with chronic schizophrenia. N Engl J Med. 2005;353(12):1209-1223.</w:t>
      </w:r>
    </w:p>
    <w:p>
      <w:pPr>
        <w:spacing w:before="0" w:after="40" w:line="276" w:lineRule="auto"/>
      </w:pPr>
      <w:r>
        <w:t>8. Fox MP, Rosen S. Patient retention in antiretroviral therapy programs. Trop Med Int Health. 2010;15(s1):1-15.</w:t>
      </w:r>
    </w:p>
    <w:p>
      <w:pPr>
        <w:spacing w:before="0" w:after="40" w:line="276" w:lineRule="auto"/>
      </w:pPr>
      <w:r>
        <w:t>9. Simpson DD, Joe GW, Brown BS. Treatment retention and follow-up outcomes in DATOS. Psychol Addict Behav. 1997;11(4):294-307.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