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b/>
          <w:sz w:val="28"/>
        </w:rPr>
        <w:t>臨床治療脱落のワイブル信頼性解析：</w:t>
        <w:br/>
        <w:t>6領域横断比較研究による固定期間治療</w:t>
        <w:br/>
        <w:t>vs オープンエンド治療のハザード二分法の発見</w:t>
      </w:r>
    </w:p>
    <w:p>
      <w:pPr>
        <w:spacing w:before="0" w:after="120" w:line="276" w:lineRule="auto"/>
        <w:jc w:val="center"/>
      </w:pPr>
      <w:r>
        <w:rPr>
          <w:sz w:val="22"/>
        </w:rPr>
        <w:t>大西 辰樹</w:t>
      </w:r>
    </w:p>
    <w:p>
      <w:pPr>
        <w:spacing w:before="0" w:after="360" w:line="276" w:lineRule="auto"/>
        <w:jc w:val="center"/>
      </w:pPr>
      <w:r>
        <w:rPr>
          <w:i/>
          <w:sz w:val="18"/>
        </w:rPr>
        <w:t>責任著者: 大西 辰樹 (bougtoir@gmail.com)</w:t>
      </w:r>
    </w:p>
    <w:p>
      <w:pPr>
        <w:pStyle w:val="Heading1"/>
      </w:pPr>
      <w:r>
        <w:t>抄録</w:t>
      </w:r>
    </w:p>
    <w:p>
      <w:pPr>
        <w:spacing w:before="0" w:after="120" w:line="276" w:lineRule="auto"/>
      </w:pPr>
      <w:r>
        <w:t>背景: 信頼性工学のワイブル分布を6臨床領域に適用し、治療脱落ハザードの時間的パターンを横断比較した。</w:t>
      </w:r>
    </w:p>
    <w:p>
      <w:pPr>
        <w:spacing w:before="0" w:after="120" w:line="276" w:lineRule="auto"/>
      </w:pPr>
      <w:r>
        <w:t>方法: 結核(5国家プログラム、N=139,470)、HIV/ART(5地域、N=516,000)、抗精神病薬(6データセット、N=63,682)、物質使用障害(6様式、N=75,000)、心臓リハ(5フェーズ、N=34,200)、臨床試験(5領域、N=99,000)の維持データに2パラメータワイブル分布を適合。合計32データセット、N=927,352。</w:t>
      </w:r>
    </w:p>
    <w:p>
      <w:pPr>
        <w:spacing w:before="0" w:after="120" w:line="276" w:lineRule="auto"/>
      </w:pPr>
      <w:r>
        <w:t>結果: 明確な二分法が出現した。固定期間治療の結核はIFR(k=1.22-1.31: 脱落リスクが時間とともに増加)。オープンエンド治療の5領域は全てDFR(k=0.511-0.958: 初期脱落優勢)。</w:t>
      </w:r>
    </w:p>
    <w:p>
      <w:pPr>
        <w:spacing w:before="0" w:after="240" w:line="276" w:lineRule="auto"/>
      </w:pPr>
      <w:r>
        <w:t>結論: 治療期間構造がハザードパターンの方向性を決定する。固定期間はIFR（累積疲労）、オープンエンドはDFR（初期選択効果）。この二分法は介入タイミングの設計指針を提供する。</w:t>
      </w:r>
    </w:p>
    <w:p>
      <w:pPr>
        <w:spacing w:before="0" w:after="360" w:line="276" w:lineRule="auto"/>
      </w:pPr>
      <w:r>
        <w:rPr>
          <w:b/>
        </w:rPr>
        <w:t xml:space="preserve">キーワード: </w:t>
      </w:r>
      <w:r>
        <w:t>ワイブル分布; 信頼性工学; 治療脱落; 結核; HIV/ART; 抗精神病薬; 物質使用障害; 心臓リハ; 臨床試験; 固定期間; オープンエンド</w:t>
      </w:r>
    </w:p>
    <w:p>
      <w:pPr>
        <w:pStyle w:val="Heading1"/>
      </w:pPr>
      <w:r>
        <w:t>結果</w:t>
      </w:r>
    </w:p>
    <w:p>
      <w:pPr>
        <w:spacing w:before="0" w:after="240" w:line="276" w:lineRule="auto"/>
      </w:pPr>
      <w:r>
        <w:rPr>
          <w:b/>
        </w:rPr>
        <w:t xml:space="preserve">表 1. </w:t>
      </w:r>
      <w:r>
        <w:t>6臨床領域のワイブルハザードパターン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領域</w:t>
            </w:r>
          </w:p>
        </w:tc>
        <w:tc>
          <w:tcPr>
            <w:tcW w:type="dxa" w:w="1560"/>
          </w:tcPr>
          <w:p>
            <w:r>
              <w:rPr>
                <w:b/>
              </w:rPr>
              <w:t>治療種別</w:t>
            </w:r>
          </w:p>
        </w:tc>
        <w:tc>
          <w:tcPr>
            <w:tcW w:type="dxa" w:w="1560"/>
          </w:tcPr>
          <w:p>
            <w:r>
              <w:rPr>
                <w:b/>
              </w:rPr>
              <w:t>データセット数</w:t>
            </w:r>
          </w:p>
        </w:tc>
        <w:tc>
          <w:tcPr>
            <w:tcW w:type="dxa" w:w="1560"/>
          </w:tcPr>
          <w:p>
            <w:r>
              <w:rPr>
                <w:b/>
              </w:rPr>
              <w:t>合計N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平均k（範囲）</w:t>
            </w:r>
          </w:p>
        </w:tc>
        <w:tc>
          <w:tcPr>
            <w:tcW w:type="dxa" w:w="1560"/>
          </w:tcPr>
          <w:p>
            <w:r>
              <w:rPr>
                <w:b/>
              </w:rPr>
              <w:t>ハザードパターン</w:t>
            </w:r>
          </w:p>
        </w:tc>
      </w:tr>
      <w:tr>
        <w:tc>
          <w:tcPr>
            <w:tcW w:type="dxa" w:w="1560"/>
          </w:tcPr>
          <w:p>
            <w:r>
              <w:t>結核</w:t>
            </w:r>
          </w:p>
        </w:tc>
        <w:tc>
          <w:tcPr>
            <w:tcW w:type="dxa" w:w="1560"/>
          </w:tcPr>
          <w:p>
            <w:r>
              <w:t>固定（6か月）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139,470</w:t>
            </w:r>
          </w:p>
        </w:tc>
        <w:tc>
          <w:tcPr>
            <w:tcW w:type="dxa" w:w="1560"/>
          </w:tcPr>
          <w:p>
            <w:r>
              <w:t>1.26 (1.22-1.31)</w:t>
            </w:r>
          </w:p>
        </w:tc>
        <w:tc>
          <w:tcPr>
            <w:tcW w:type="dxa" w:w="1560"/>
          </w:tcPr>
          <w:p>
            <w:r>
              <w:t>IFR（増加型）</w:t>
            </w:r>
          </w:p>
        </w:tc>
      </w:tr>
      <w:tr>
        <w:tc>
          <w:tcPr>
            <w:tcW w:type="dxa" w:w="1560"/>
          </w:tcPr>
          <w:p>
            <w:r>
              <w:t>HIV/ART</w:t>
            </w:r>
          </w:p>
        </w:tc>
        <w:tc>
          <w:tcPr>
            <w:tcW w:type="dxa" w:w="1560"/>
          </w:tcPr>
          <w:p>
            <w:r>
              <w:t>オープンエンド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516,000</w:t>
            </w:r>
          </w:p>
        </w:tc>
        <w:tc>
          <w:tcPr>
            <w:tcW w:type="dxa" w:w="1560"/>
          </w:tcPr>
          <w:p>
            <w:r>
              <w:t>0.597 (0.582-0.627)</w:t>
            </w:r>
          </w:p>
        </w:tc>
        <w:tc>
          <w:tcPr>
            <w:tcW w:type="dxa" w:w="1560"/>
          </w:tcPr>
          <w:p>
            <w:r>
              <w:t>DFR（減少型）</w:t>
            </w:r>
          </w:p>
        </w:tc>
      </w:tr>
      <w:tr>
        <w:tc>
          <w:tcPr>
            <w:tcW w:type="dxa" w:w="1560"/>
          </w:tcPr>
          <w:p>
            <w:r>
              <w:t>抗精神病薬</w:t>
            </w:r>
          </w:p>
        </w:tc>
        <w:tc>
          <w:tcPr>
            <w:tcW w:type="dxa" w:w="1560"/>
          </w:tcPr>
          <w:p>
            <w:r>
              <w:t>オープンエンド</w:t>
            </w:r>
          </w:p>
        </w:tc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63,682</w:t>
            </w:r>
          </w:p>
        </w:tc>
        <w:tc>
          <w:tcPr>
            <w:tcW w:type="dxa" w:w="1560"/>
          </w:tcPr>
          <w:p>
            <w:r>
              <w:t>0.857 (0.683-0.958)</w:t>
            </w:r>
          </w:p>
        </w:tc>
        <w:tc>
          <w:tcPr>
            <w:tcW w:type="dxa" w:w="1560"/>
          </w:tcPr>
          <w:p>
            <w:r>
              <w:t>DFR（減少型）</w:t>
            </w:r>
          </w:p>
        </w:tc>
      </w:tr>
      <w:tr>
        <w:tc>
          <w:tcPr>
            <w:tcW w:type="dxa" w:w="1560"/>
          </w:tcPr>
          <w:p>
            <w:r>
              <w:t>物質使用障害</w:t>
            </w:r>
          </w:p>
        </w:tc>
        <w:tc>
          <w:tcPr>
            <w:tcW w:type="dxa" w:w="1560"/>
          </w:tcPr>
          <w:p>
            <w:r>
              <w:t>オープンエンド</w:t>
            </w:r>
          </w:p>
        </w:tc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75,000</w:t>
            </w:r>
          </w:p>
        </w:tc>
        <w:tc>
          <w:tcPr>
            <w:tcW w:type="dxa" w:w="1560"/>
          </w:tcPr>
          <w:p>
            <w:r>
              <w:t>0.639 (0.511-0.733)</w:t>
            </w:r>
          </w:p>
        </w:tc>
        <w:tc>
          <w:tcPr>
            <w:tcW w:type="dxa" w:w="1560"/>
          </w:tcPr>
          <w:p>
            <w:r>
              <w:t>DFR（減少型）</w:t>
            </w:r>
          </w:p>
        </w:tc>
      </w:tr>
      <w:tr>
        <w:tc>
          <w:tcPr>
            <w:tcW w:type="dxa" w:w="1560"/>
          </w:tcPr>
          <w:p>
            <w:r>
              <w:t>心臓リハビリ</w:t>
            </w:r>
          </w:p>
        </w:tc>
        <w:tc>
          <w:tcPr>
            <w:tcW w:type="dxa" w:w="1560"/>
          </w:tcPr>
          <w:p>
            <w:r>
              <w:t>オープンエンド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34,200</w:t>
            </w:r>
          </w:p>
        </w:tc>
        <w:tc>
          <w:tcPr>
            <w:tcW w:type="dxa" w:w="1560"/>
          </w:tcPr>
          <w:p>
            <w:r>
              <w:t>0.689 (0.613-0.775)</w:t>
            </w:r>
          </w:p>
        </w:tc>
        <w:tc>
          <w:tcPr>
            <w:tcW w:type="dxa" w:w="1560"/>
          </w:tcPr>
          <w:p>
            <w:r>
              <w:t>DFR（減少型）</w:t>
            </w:r>
          </w:p>
        </w:tc>
      </w:tr>
      <w:tr>
        <w:tc>
          <w:tcPr>
            <w:tcW w:type="dxa" w:w="1560"/>
          </w:tcPr>
          <w:p>
            <w:r>
              <w:t>臨床試験</w:t>
            </w:r>
          </w:p>
        </w:tc>
        <w:tc>
          <w:tcPr>
            <w:tcW w:type="dxa" w:w="1560"/>
          </w:tcPr>
          <w:p>
            <w:r>
              <w:t>オープンエンド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99,000</w:t>
            </w:r>
          </w:p>
        </w:tc>
        <w:tc>
          <w:tcPr>
            <w:tcW w:type="dxa" w:w="1560"/>
          </w:tcPr>
          <w:p>
            <w:r>
              <w:t>0.708 (0.679-0.742)</w:t>
            </w:r>
          </w:p>
        </w:tc>
        <w:tc>
          <w:tcPr>
            <w:tcW w:type="dxa" w:w="1560"/>
          </w:tcPr>
          <w:p>
            <w:r>
              <w:t>DFR（減少型）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4228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cross_domain_k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図1. </w:t>
      </w:r>
      <w:r>
        <w:t>5オープンエンド領域のワイブル形状パラメータ(k)比較。結核(k=1.22-1.31, IFR)は唯一のIFR領域。</w:t>
      </w:r>
    </w:p>
    <w:p>
      <w:r>
        <w:drawing>
          <wp:inline xmlns:a="http://schemas.openxmlformats.org/drawingml/2006/main" xmlns:pic="http://schemas.openxmlformats.org/drawingml/2006/picture">
            <wp:extent cx="5943600" cy="38333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hazard_taxonom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図2. </w:t>
      </w:r>
      <w:r>
        <w:t>ハザードパターン分類学。全オープンエンド領域で減少型ハザード。</w:t>
      </w:r>
    </w:p>
    <w:p>
      <w:pPr>
        <w:pStyle w:val="Heading1"/>
      </w:pPr>
      <w:r>
        <w:t>結論</w:t>
      </w:r>
    </w:p>
    <w:p>
      <w:pPr>
        <w:spacing w:before="0" w:after="240" w:line="276" w:lineRule="auto"/>
      </w:pPr>
      <w:r>
        <w:t>本6領域横断研究は、固定期間治療（IFR）vs オープンエンド治療（DFR）の基本的二分法を明らかにした。32データセット・927,352名のデータにより、ワイブルフレームワークが治療期間構造に基づくフェーズ特異的維持戦略設計の定量的基盤を提供することが示された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