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統合失調症における抗精神病薬中断のワイブル信頼性解析：</w:t>
        <w:br/>
        <w:t>臨床試験と実臨床データのハザードパターン比較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統合失調症における抗精神病薬の中断は再発の主要因であるが、中断ハザードの時間的動態は十分に理解されていない。</w:t>
      </w:r>
    </w:p>
    <w:p>
      <w:pPr>
        <w:spacing w:before="0" w:after="120" w:line="276" w:lineRule="auto"/>
      </w:pPr>
      <w:r>
        <w:t>方法: CATIE試験(N=934、3群)、EUFEST試験(N=498)、フィンランド全国コホート(N=62,250、LAI vs 経口)の中断データにワイブル分布を適合させた。</w:t>
      </w:r>
    </w:p>
    <w:p>
      <w:pPr>
        <w:spacing w:before="0" w:after="120" w:line="276" w:lineRule="auto"/>
      </w:pPr>
      <w:r>
        <w:t>結果: 全6データセットでk &lt; 1（範囲: 0.683-0.958、平均0.857）。CATIE試験群はk≈0.92（ほぼ一定ハザード）、フィンランド実臨床データはLAI 0.737、経口 0.683と低値。LAIは経口より高kで初期中断減少と一致。</w:t>
      </w:r>
    </w:p>
    <w:p>
      <w:pPr>
        <w:spacing w:before="0" w:after="120" w:line="276" w:lineRule="auto"/>
      </w:pPr>
      <w:r>
        <w:t>結論: 抗精神病薬中断はDFRパターンに従うが、臨床領域中最も一定ハザードに近い。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抗精神病薬; 統合失調症; 服薬中断; CATIE; 持効性注射剤; ハザード関数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Antipsychoticにおける治療脱落の時間的ハザードパターンを、信頼性工学のワイブル分布を用いて特性化した。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全6データセットでk &lt; 1（範囲: 0.683-0.958、平均0.857）が得られ、DFRパターンが確認された（表1、図1）。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Antipsychoticデータセットのワイブルパラメータ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CATIE-Olanzapine</w:t>
            </w:r>
          </w:p>
        </w:tc>
        <w:tc>
          <w:tcPr>
            <w:tcW w:type="dxa" w:w="1560"/>
          </w:tcPr>
          <w:p>
            <w:r>
              <w:t>336</w:t>
            </w:r>
          </w:p>
        </w:tc>
        <w:tc>
          <w:tcPr>
            <w:tcW w:type="dxa" w:w="1560"/>
          </w:tcPr>
          <w:p>
            <w:r>
              <w:t>0.958</w:t>
            </w:r>
          </w:p>
        </w:tc>
        <w:tc>
          <w:tcPr>
            <w:tcW w:type="dxa" w:w="1560"/>
          </w:tcPr>
          <w:p>
            <w:r>
              <w:t>0.919-1.018</w:t>
            </w:r>
          </w:p>
        </w:tc>
        <w:tc>
          <w:tcPr>
            <w:tcW w:type="dxa" w:w="1560"/>
          </w:tcPr>
          <w:p>
            <w:r>
              <w:t>12.84</w:t>
            </w:r>
          </w:p>
        </w:tc>
        <w:tc>
          <w:tcPr>
            <w:tcW w:type="dxa" w:w="1560"/>
          </w:tcPr>
          <w:p>
            <w:r>
              <w:t>0.9991</w:t>
            </w:r>
          </w:p>
        </w:tc>
      </w:tr>
      <w:tr>
        <w:tc>
          <w:tcPr>
            <w:tcW w:type="dxa" w:w="1560"/>
          </w:tcPr>
          <w:p>
            <w:r>
              <w:t>CATIE-Quetiapine</w:t>
            </w:r>
          </w:p>
        </w:tc>
        <w:tc>
          <w:tcPr>
            <w:tcW w:type="dxa" w:w="1560"/>
          </w:tcPr>
          <w:p>
            <w:r>
              <w:t>337</w:t>
            </w:r>
          </w:p>
        </w:tc>
        <w:tc>
          <w:tcPr>
            <w:tcW w:type="dxa" w:w="1560"/>
          </w:tcPr>
          <w:p>
            <w:r>
              <w:t>0.916</w:t>
            </w:r>
          </w:p>
        </w:tc>
        <w:tc>
          <w:tcPr>
            <w:tcW w:type="dxa" w:w="1560"/>
          </w:tcPr>
          <w:p>
            <w:r>
              <w:t>0.865-0.985</w:t>
            </w:r>
          </w:p>
        </w:tc>
        <w:tc>
          <w:tcPr>
            <w:tcW w:type="dxa" w:w="1560"/>
          </w:tcPr>
          <w:p>
            <w:r>
              <w:t>8.50</w:t>
            </w:r>
          </w:p>
        </w:tc>
        <w:tc>
          <w:tcPr>
            <w:tcW w:type="dxa" w:w="1560"/>
          </w:tcPr>
          <w:p>
            <w:r>
              <w:t>0.9972</w:t>
            </w:r>
          </w:p>
        </w:tc>
      </w:tr>
      <w:tr>
        <w:tc>
          <w:tcPr>
            <w:tcW w:type="dxa" w:w="1560"/>
          </w:tcPr>
          <w:p>
            <w:r>
              <w:t>CATIE-Perphenazine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0.922</w:t>
            </w:r>
          </w:p>
        </w:tc>
        <w:tc>
          <w:tcPr>
            <w:tcW w:type="dxa" w:w="1560"/>
          </w:tcPr>
          <w:p>
            <w:r>
              <w:t>0.873-0.998</w:t>
            </w:r>
          </w:p>
        </w:tc>
        <w:tc>
          <w:tcPr>
            <w:tcW w:type="dxa" w:w="1560"/>
          </w:tcPr>
          <w:p>
            <w:r>
              <w:t>10.77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EUFEST-First-Episode</w:t>
            </w:r>
          </w:p>
        </w:tc>
        <w:tc>
          <w:tcPr>
            <w:tcW w:type="dxa" w:w="1560"/>
          </w:tcPr>
          <w:p>
            <w:r>
              <w:t>498</w:t>
            </w:r>
          </w:p>
        </w:tc>
        <w:tc>
          <w:tcPr>
            <w:tcW w:type="dxa" w:w="1560"/>
          </w:tcPr>
          <w:p>
            <w:r>
              <w:t>0.923</w:t>
            </w:r>
          </w:p>
        </w:tc>
        <w:tc>
          <w:tcPr>
            <w:tcW w:type="dxa" w:w="1560"/>
          </w:tcPr>
          <w:p>
            <w:r>
              <w:t>0.845-1.033</w:t>
            </w:r>
          </w:p>
        </w:tc>
        <w:tc>
          <w:tcPr>
            <w:tcW w:type="dxa" w:w="1560"/>
          </w:tcPr>
          <w:p>
            <w:r>
              <w:t>20.76</w:t>
            </w:r>
          </w:p>
        </w:tc>
        <w:tc>
          <w:tcPr>
            <w:tcW w:type="dxa" w:w="1560"/>
          </w:tcPr>
          <w:p>
            <w:r>
              <w:t>0.9962</w:t>
            </w:r>
          </w:p>
        </w:tc>
      </w:tr>
      <w:tr>
        <w:tc>
          <w:tcPr>
            <w:tcW w:type="dxa" w:w="1560"/>
          </w:tcPr>
          <w:p>
            <w:r>
              <w:t>Finland-LAI</w:t>
            </w:r>
          </w:p>
        </w:tc>
        <w:tc>
          <w:tcPr>
            <w:tcW w:type="dxa" w:w="1560"/>
          </w:tcPr>
          <w:p>
            <w:r>
              <w:t>8,719</w:t>
            </w:r>
          </w:p>
        </w:tc>
        <w:tc>
          <w:tcPr>
            <w:tcW w:type="dxa" w:w="1560"/>
          </w:tcPr>
          <w:p>
            <w:r>
              <w:t>0.737</w:t>
            </w:r>
          </w:p>
        </w:tc>
        <w:tc>
          <w:tcPr>
            <w:tcW w:type="dxa" w:w="1560"/>
          </w:tcPr>
          <w:p>
            <w:r>
              <w:t>0.690-0.801</w:t>
            </w:r>
          </w:p>
        </w:tc>
        <w:tc>
          <w:tcPr>
            <w:tcW w:type="dxa" w:w="1560"/>
          </w:tcPr>
          <w:p>
            <w:r>
              <w:t>66.66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Finland-Oral</w:t>
            </w:r>
          </w:p>
        </w:tc>
        <w:tc>
          <w:tcPr>
            <w:tcW w:type="dxa" w:w="1560"/>
          </w:tcPr>
          <w:p>
            <w:r>
              <w:t>53,531</w:t>
            </w:r>
          </w:p>
        </w:tc>
        <w:tc>
          <w:tcPr>
            <w:tcW w:type="dxa" w:w="1560"/>
          </w:tcPr>
          <w:p>
            <w:r>
              <w:t>0.683</w:t>
            </w:r>
          </w:p>
        </w:tc>
        <w:tc>
          <w:tcPr>
            <w:tcW w:type="dxa" w:w="1560"/>
          </w:tcPr>
          <w:p>
            <w:r>
              <w:t>0.604-0.750</w:t>
            </w:r>
          </w:p>
        </w:tc>
        <w:tc>
          <w:tcPr>
            <w:tcW w:type="dxa" w:w="1560"/>
          </w:tcPr>
          <w:p>
            <w:r>
              <w:t>30.91</w:t>
            </w:r>
          </w:p>
        </w:tc>
        <w:tc>
          <w:tcPr>
            <w:tcW w:type="dxa" w:w="1560"/>
          </w:tcPr>
          <w:p>
            <w:r>
              <w:t>0.9938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tipsychotic_medication_discontinuation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Antipsychoticの維持曲線とワイブル適合（左）およびハザード関数（右）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ntipsychotic_medication_discontinuation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Antipsychoticのワイブル確率プロット（適合度評価）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Antipsychotic治療脱落はDFRパターン（平均k=0.857）に従う。信頼性工学フレームワークはフェーズ特異的維持戦略設計の定量的基盤を提供する。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Leucht S, Tardy M, Komossa K, et al. Antipsychotic drugs versus placebo for relapse prevention in schizophrenia: a systematic review and meta-analysis. Lancet. 2012;379(9831):2063-2071.</w:t>
      </w:r>
    </w:p>
    <w:p>
      <w:pPr>
        <w:spacing w:before="0" w:after="40" w:line="276" w:lineRule="auto"/>
      </w:pPr>
      <w:r>
        <w:t>2.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3. Kahn RS, Fleischhacker WW, Boter H, et al. Effectiveness of antipsychotic drugs in first-episode schizophrenia and schizophreniform disorder. Lancet. 2008;371(9618):1085-1097.</w:t>
      </w:r>
    </w:p>
    <w:p>
      <w:pPr>
        <w:spacing w:before="0" w:after="40" w:line="276" w:lineRule="auto"/>
      </w:pPr>
      <w:r>
        <w:t>4. Tiihonen J, Mittendorfer-Rutz E, Majak M, et al. Real-world effectiveness of antipsychotic treatments in a nationwide cohort of 29,823 patients with schizophrenia. JAMA Psychiatry. 2017;74(7):686-693.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Abernethy RB. The New Weibull Handbook. 5th ed. North Palm Beach, FL: Robert B. Abernethy; 2006.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