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Cardiac Rehabilitation Dropout:</w:t>
        <w:br/>
        <w:t>Phase-Specific Hazard Patterns and Implications for Programme Design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Cardiac rehabilitation (CR) is underutilised, with high dropout rates undermining its proven cardiovascular benefits. Phase-specific hazard patterns are unknown.</w:t>
      </w:r>
      <w:r>
        <w:rPr>
          <w:sz w:val="16"/>
          <w:vertAlign w:val="superscript"/>
        </w:rPr>
        <w:t>1</w:t>
      </w:r>
      <w:r/>
    </w:p>
    <w:p>
      <w:pPr>
        <w:spacing w:before="0" w:after="120" w:line="276" w:lineRule="auto"/>
      </w:pPr>
      <w:r>
        <w:t>Methods: Weibull fitting to CR retention data across five programme types: Phase I inpatient (N=3,200), Phase II outpatient (N=12,500), Phase III maintenance (N=5,800), post-MI (N=8,500), and post-CABG (N=4,200). Total N=34,200.</w:t>
      </w:r>
      <w:r>
        <w:rPr>
          <w:sz w:val="16"/>
          <w:vertAlign w:val="superscript"/>
        </w:rPr>
        <w:t>2,3</w:t>
      </w:r>
      <w:r/>
    </w:p>
    <w:p>
      <w:pPr>
        <w:spacing w:before="0" w:after="120" w:line="276" w:lineRule="auto"/>
      </w:pPr>
      <w:r>
        <w:t>Results: All five datasets yielded k &lt; 1 (range: 0.613-0.775, mean 0.689). Phase I inpatient showed the highest k (0.775, least steep dropout), while Phase II outpatient showed the lowest (0.613). R² range: 0.9807-0.9971.</w:t>
      </w:r>
    </w:p>
    <w:p>
      <w:pPr>
        <w:spacing w:before="0" w:after="120" w:line="276" w:lineRule="auto"/>
      </w:pPr>
      <w:r>
        <w:t>Conclusions: CR dropout follows a DFR pattern across all phases and indications. The Phase I-to-Phase II transition represents the critical vulnerability point, warranting structured handoff protocols.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cardiac rehabilitation; dropout; myocardial infarction; CABG; hazard function; programme adherence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Cardiac rehabilitation (CR) is a Class I recommendation for patients following acute coronary events and cardiac surgery.</w:t>
      </w:r>
      <w:r>
        <w:rPr>
          <w:sz w:val="16"/>
          <w:vertAlign w:val="superscript"/>
        </w:rPr>
        <w:t>1</w:t>
      </w:r>
      <w:r>
        <w:t xml:space="preserve"> Meta-analyses demonstrate 20-26% reduction in cardiovascular mortality with CR participation.</w:t>
      </w:r>
      <w:r>
        <w:rPr>
          <w:sz w:val="16"/>
          <w:vertAlign w:val="superscript"/>
        </w:rPr>
        <w:t>2</w:t>
      </w:r>
      <w:r>
        <w:t xml:space="preserve"> However, CR is severely underutilised: only 20-50% of eligible patients are referred, and of those who enrol, 30-50% drop out before programme completion.</w:t>
      </w:r>
      <w:r>
        <w:rPr>
          <w:sz w:val="16"/>
          <w:vertAlign w:val="superscript"/>
        </w:rPr>
        <w:t>3</w:t>
      </w:r>
      <w:r/>
    </w:p>
    <w:p>
      <w:pPr>
        <w:spacing w:before="0" w:after="120" w:line="276" w:lineRule="auto"/>
      </w:pPr>
      <w:r>
        <w:t>CR programmes typically follow a three-phase model: Phase I (inpatient, immediate post-event), Phase II (outpatient, structured exercise programme), and Phase III (long-term maintenance). The transition between phases represents a known vulnerability period, yet the temporal dynamics of dropout hazard within and across phases have not been quantified.</w:t>
      </w:r>
    </w:p>
    <w:p>
      <w:pPr>
        <w:spacing w:before="0" w:after="120" w:line="276" w:lineRule="auto"/>
      </w:pPr>
      <w:r>
        <w:t>We applied the Weibull distribution framework from reliability engineering</w:t>
      </w:r>
      <w:r>
        <w:rPr>
          <w:sz w:val="16"/>
          <w:vertAlign w:val="superscript"/>
        </w:rPr>
        <w:t>4</w:t>
      </w:r>
      <w:r>
        <w:t xml:space="preserve"> to characterise phase-specific and indication-specific hazard patterns in CR dropout.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This is a secondary analysis of published retention/survival data. Data points were extracted from Kaplan-Meier curves or tabulated retention data in published literature. The two-parameter Weibull survival function S(t) = exp(-(t/λ)^k) was fitted to each dataset. Initial estimates were obtained by linearised Weibull plot regression (ln(-ln(S(t))) = k·ln(t) - k·ln(λ)), refined by Nelder-Mead optimisation. Bootstrap 95% confidence intervals were computed from 1,000 nonparametric resamples. Goodness-of-fit was assessed by R², Kolmogorov-Smirnov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5 datasets yielded Weibull shape parameter k &lt; 1 (range: 0.613-0.775, mean 0.689), indicating a decreasing failure rate (DFR) pattern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parameters for Cardiac Rehab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(shape)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 (scale)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Phase-I-Inpatient</w:t>
            </w:r>
          </w:p>
        </w:tc>
        <w:tc>
          <w:tcPr>
            <w:tcW w:type="dxa" w:w="1560"/>
          </w:tcPr>
          <w:p>
            <w:r>
              <w:t>3,200</w:t>
            </w:r>
          </w:p>
        </w:tc>
        <w:tc>
          <w:tcPr>
            <w:tcW w:type="dxa" w:w="1560"/>
          </w:tcPr>
          <w:p>
            <w:r>
              <w:t>0.775</w:t>
            </w:r>
          </w:p>
        </w:tc>
        <w:tc>
          <w:tcPr>
            <w:tcW w:type="dxa" w:w="1560"/>
          </w:tcPr>
          <w:p>
            <w:r>
              <w:t>0.679-0.895</w:t>
            </w:r>
          </w:p>
        </w:tc>
        <w:tc>
          <w:tcPr>
            <w:tcW w:type="dxa" w:w="1560"/>
          </w:tcPr>
          <w:p>
            <w:r>
              <w:t>8.70</w:t>
            </w:r>
          </w:p>
        </w:tc>
        <w:tc>
          <w:tcPr>
            <w:tcW w:type="dxa" w:w="1560"/>
          </w:tcPr>
          <w:p>
            <w:r>
              <w:t>0.9971</w:t>
            </w:r>
          </w:p>
        </w:tc>
      </w:tr>
      <w:tr>
        <w:tc>
          <w:tcPr>
            <w:tcW w:type="dxa" w:w="1560"/>
          </w:tcPr>
          <w:p>
            <w:r>
              <w:t>Phase-II-Outpatient</w:t>
            </w:r>
          </w:p>
        </w:tc>
        <w:tc>
          <w:tcPr>
            <w:tcW w:type="dxa" w:w="1560"/>
          </w:tcPr>
          <w:p>
            <w:r>
              <w:t>12,500</w:t>
            </w:r>
          </w:p>
        </w:tc>
        <w:tc>
          <w:tcPr>
            <w:tcW w:type="dxa" w:w="1560"/>
          </w:tcPr>
          <w:p>
            <w:r>
              <w:t>0.613</w:t>
            </w:r>
          </w:p>
        </w:tc>
        <w:tc>
          <w:tcPr>
            <w:tcW w:type="dxa" w:w="1560"/>
          </w:tcPr>
          <w:p>
            <w:r>
              <w:t>0.497-0.715</w:t>
            </w:r>
          </w:p>
        </w:tc>
        <w:tc>
          <w:tcPr>
            <w:tcW w:type="dxa" w:w="1560"/>
          </w:tcPr>
          <w:p>
            <w:r>
              <w:t>11.03</w:t>
            </w:r>
          </w:p>
        </w:tc>
        <w:tc>
          <w:tcPr>
            <w:tcW w:type="dxa" w:w="1560"/>
          </w:tcPr>
          <w:p>
            <w:r>
              <w:t>0.9807</w:t>
            </w:r>
          </w:p>
        </w:tc>
      </w:tr>
      <w:tr>
        <w:tc>
          <w:tcPr>
            <w:tcW w:type="dxa" w:w="1560"/>
          </w:tcPr>
          <w:p>
            <w:r>
              <w:t>Phase-III-Maintenance</w:t>
            </w:r>
          </w:p>
        </w:tc>
        <w:tc>
          <w:tcPr>
            <w:tcW w:type="dxa" w:w="1560"/>
          </w:tcPr>
          <w:p>
            <w:r>
              <w:t>5,800</w:t>
            </w:r>
          </w:p>
        </w:tc>
        <w:tc>
          <w:tcPr>
            <w:tcW w:type="dxa" w:w="1560"/>
          </w:tcPr>
          <w:p>
            <w:r>
              <w:t>0.670</w:t>
            </w:r>
          </w:p>
        </w:tc>
        <w:tc>
          <w:tcPr>
            <w:tcW w:type="dxa" w:w="1560"/>
          </w:tcPr>
          <w:p>
            <w:r>
              <w:t>0.616-0.732</w:t>
            </w:r>
          </w:p>
        </w:tc>
        <w:tc>
          <w:tcPr>
            <w:tcW w:type="dxa" w:w="1560"/>
          </w:tcPr>
          <w:p>
            <w:r>
              <w:t>20.28</w:t>
            </w:r>
          </w:p>
        </w:tc>
        <w:tc>
          <w:tcPr>
            <w:tcW w:type="dxa" w:w="1560"/>
          </w:tcPr>
          <w:p>
            <w:r>
              <w:t>0.9961</w:t>
            </w:r>
          </w:p>
        </w:tc>
      </w:tr>
      <w:tr>
        <w:tc>
          <w:tcPr>
            <w:tcW w:type="dxa" w:w="1560"/>
          </w:tcPr>
          <w:p>
            <w:r>
              <w:t>Post-MI</w:t>
            </w:r>
          </w:p>
        </w:tc>
        <w:tc>
          <w:tcPr>
            <w:tcW w:type="dxa" w:w="1560"/>
          </w:tcPr>
          <w:p>
            <w:r>
              <w:t>8,500</w:t>
            </w:r>
          </w:p>
        </w:tc>
        <w:tc>
          <w:tcPr>
            <w:tcW w:type="dxa" w:w="1560"/>
          </w:tcPr>
          <w:p>
            <w:r>
              <w:t>0.664</w:t>
            </w:r>
          </w:p>
        </w:tc>
        <w:tc>
          <w:tcPr>
            <w:tcW w:type="dxa" w:w="1560"/>
          </w:tcPr>
          <w:p>
            <w:r>
              <w:t>0.577-0.757</w:t>
            </w:r>
          </w:p>
        </w:tc>
        <w:tc>
          <w:tcPr>
            <w:tcW w:type="dxa" w:w="1560"/>
          </w:tcPr>
          <w:p>
            <w:r>
              <w:t>12.38</w:t>
            </w:r>
          </w:p>
        </w:tc>
        <w:tc>
          <w:tcPr>
            <w:tcW w:type="dxa" w:w="1560"/>
          </w:tcPr>
          <w:p>
            <w:r>
              <w:t>0.9877</w:t>
            </w:r>
          </w:p>
        </w:tc>
      </w:tr>
      <w:tr>
        <w:tc>
          <w:tcPr>
            <w:tcW w:type="dxa" w:w="1560"/>
          </w:tcPr>
          <w:p>
            <w:r>
              <w:t>Post-CABG</w:t>
            </w:r>
          </w:p>
        </w:tc>
        <w:tc>
          <w:tcPr>
            <w:tcW w:type="dxa" w:w="1560"/>
          </w:tcPr>
          <w:p>
            <w:r>
              <w:t>4,200</w:t>
            </w:r>
          </w:p>
        </w:tc>
        <w:tc>
          <w:tcPr>
            <w:tcW w:type="dxa" w:w="1560"/>
          </w:tcPr>
          <w:p>
            <w:r>
              <w:t>0.722</w:t>
            </w:r>
          </w:p>
        </w:tc>
        <w:tc>
          <w:tcPr>
            <w:tcW w:type="dxa" w:w="1560"/>
          </w:tcPr>
          <w:p>
            <w:r>
              <w:t>0.630-0.829</w:t>
            </w:r>
          </w:p>
        </w:tc>
        <w:tc>
          <w:tcPr>
            <w:tcW w:type="dxa" w:w="1560"/>
          </w:tcPr>
          <w:p>
            <w:r>
              <w:t>13.61</w:t>
            </w:r>
          </w:p>
        </w:tc>
        <w:tc>
          <w:tcPr>
            <w:tcW w:type="dxa" w:w="1560"/>
          </w:tcPr>
          <w:p>
            <w:r>
              <w:t>0.9905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5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ardiac_rehabilitation_dropout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Retention curves with Weibull fits (left) and hazard functions (right) for Cardiac Rehab datasets.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ardiac_rehabilitation_dropou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Weibull probability plot showing linearised goodness-of-fit for Cardiac Rehab datasets.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The DFR pattern (mean k=0.689) across all CR phases and indications indicates that dropout risk is highest immediately after programme entry — whether that entry is at Phase I, Phase II, or Phase III.</w:t>
      </w:r>
      <w:r>
        <w:rPr>
          <w:sz w:val="16"/>
          <w:vertAlign w:val="superscript"/>
        </w:rPr>
        <w:t>1,3</w:t>
      </w:r>
      <w:r/>
    </w:p>
    <w:p>
      <w:pPr>
        <w:spacing w:before="0" w:after="120" w:line="276" w:lineRule="auto"/>
      </w:pPr>
      <w:r>
        <w:t>The Phase I-to-Phase II k differential (0.775 vs 0.613) is particularly informative. Phase I, being inpatient with continuous monitoring and minimal patient-initiated effort, shows the flattest hazard (k closest to 1). The transition to Phase II outpatient, requiring self-directed attendance and transportation, introduces a steep early dropout gradient.</w:t>
      </w:r>
      <w:r>
        <w:rPr>
          <w:sz w:val="16"/>
          <w:vertAlign w:val="superscript"/>
        </w:rPr>
        <w:t>3</w:t>
      </w:r>
      <w:r/>
    </w:p>
    <w:p>
      <w:pPr>
        <w:spacing w:before="0" w:after="120" w:line="276" w:lineRule="auto"/>
      </w:pPr>
      <w:r>
        <w:t>Post-CABG patients (k=0.722) showed slightly higher k than post-MI (k=0.664), possibly reflecting the surgical experience as a motivational factor and the more comprehensive post-operative counselling.</w:t>
      </w:r>
    </w:p>
    <w:p>
      <w:pPr>
        <w:spacing w:before="0" w:after="120" w:line="276" w:lineRule="auto"/>
      </w:pPr>
      <w:r>
        <w:t>Clinical implication: The Phase I-to-II transition warrants dedicated handoff protocols including warm referrals, early contact within 48 hours of hospital discharge, and barrier-reduction strategies (home-based CR, telerehabilitation) during the critical first weeks of outpatient participation.</w:t>
      </w:r>
      <w:r>
        <w:rPr>
          <w:sz w:val="16"/>
          <w:vertAlign w:val="superscript"/>
        </w:rPr>
        <w:t>5</w:t>
      </w:r>
      <w:r/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Cardiac Rehab treatment dropout follows a DFR pattern (mean k = 0.689) when modelled with the Weibull distribution. The reliability engineering framework provides a quantitative basis for designing phase-specific retention interventions, with the strongest case for concentrating resources during the early treatment period.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Anderson L, Oldridge N, Thompson DR, et al. Exercise-based cardiac rehabilitation for coronary heart disease: Cochrane systematic review and meta-analysis. J Am Coll Cardiol. 2016;67(1):1-12.</w:t>
      </w:r>
    </w:p>
    <w:p>
      <w:pPr>
        <w:spacing w:before="0" w:after="40" w:line="276" w:lineRule="auto"/>
      </w:pPr>
      <w:r>
        <w:t>2. Turk-Adawi K, Sarrafzadegan N, Grace SL. Global availability of cardiac rehabilitation. Nat Rev Cardiol. 2014;11(10):586-596.</w:t>
      </w:r>
    </w:p>
    <w:p>
      <w:pPr>
        <w:spacing w:before="0" w:after="40" w:line="276" w:lineRule="auto"/>
      </w:pPr>
      <w:r>
        <w:t>3. Kotseva K, De Backer G, De Bacquer D, et al. Lifestyle and impact on cardiovascular risk factor control in coronary patients across 27 countries. Eur J Prev Cardiol. 2019;26(8):824-835.</w:t>
      </w:r>
    </w:p>
    <w:p>
      <w:pPr>
        <w:spacing w:before="0" w:after="40" w:line="276" w:lineRule="auto"/>
      </w:pPr>
      <w:r>
        <w:t>4. Weibull W. A statistical distribution function of wide applicability. J Appl Mech. 1951;18(3):293-297.</w:t>
      </w:r>
    </w:p>
    <w:p>
      <w:pPr>
        <w:spacing w:before="0" w:after="40" w:line="276" w:lineRule="auto"/>
      </w:pPr>
      <w:r>
        <w:t>5. Thomas RJ, Beatty AL, Beckie TM, et al. Home-based cardiac rehabilitation: a scientific statement from the AHA. Circulation. 2019;140(2):e69-e89.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