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心臓リハビリテーション脱落のワイブル信頼性解析：</w:t>
        <w:br/>
        <w:t>フェーズ特異的ハザードパターンとプログラム設計への示唆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心臓リハビリテーション(CR)は高い脱落率により十分に活用されていない。フェーズ特異的なハザードパターンは未知である。</w:t>
      </w:r>
    </w:p>
    <w:p>
      <w:pPr>
        <w:spacing w:before="0" w:after="120" w:line="276" w:lineRule="auto"/>
      </w:pPr>
      <w:r>
        <w:t>方法: 5つのCRプログラムの維持データにワイブル分布を適合：Phase I入院(N=3,200)、Phase II外来(N=12,500)、Phase III維持(N=5,800)、心筋梗塞後(N=8,500)、CABG後(N=4,200)。合計N=34,200。</w:t>
      </w:r>
    </w:p>
    <w:p>
      <w:pPr>
        <w:spacing w:before="0" w:after="120" w:line="276" w:lineRule="auto"/>
      </w:pPr>
      <w:r>
        <w:t>結果: 全5データセットでk &lt; 1（範囲: 0.613-0.775、平均0.689）。Phase I入院が最高k(0.775)、Phase II外来が最低k(0.613)。</w:t>
      </w:r>
    </w:p>
    <w:p>
      <w:pPr>
        <w:spacing w:before="0" w:after="120" w:line="276" w:lineRule="auto"/>
      </w:pPr>
      <w:r>
        <w:t>結論: CR脱落は全フェーズ・適応でDFRパターン。Phase I→II移行が脆弱ポイント。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心臓リハビリテーション; 脱落; 心筋梗塞; CABG; ハザード関数; プログラム遵守</w:t>
      </w:r>
    </w:p>
    <w:p>
      <w:pPr>
        <w:pStyle w:val="Heading1"/>
      </w:pPr>
      <w:r>
        <w:t>1. 緒言・方法</w:t>
      </w:r>
    </w:p>
    <w:p>
      <w:pPr>
        <w:spacing w:before="0" w:after="120" w:line="276" w:lineRule="auto"/>
      </w:pPr>
      <w:r>
        <w:t>Cardiac Rehabにおける治療脱落の時間的ハザードパターンを、信頼性工学のワイブル分布を用いて特性化した。</w:t>
      </w:r>
    </w:p>
    <w:p>
      <w:pPr>
        <w:spacing w:before="0" w:after="240" w:line="276" w:lineRule="auto"/>
      </w:pPr>
      <w:r>
        <w:t>公表済みKaplan-Meier曲線からデータを再構成し、2パラメータワイブル分布 S(t)=exp(-(t/λ)^k) を適合。Bootstrap法（1,000回再抽出）で95%信頼区間を算出した。</w:t>
      </w:r>
    </w:p>
    <w:p>
      <w:pPr>
        <w:pStyle w:val="Heading1"/>
      </w:pPr>
      <w:r>
        <w:t>2. 結果</w:t>
      </w:r>
    </w:p>
    <w:p>
      <w:pPr>
        <w:spacing w:before="0" w:after="120" w:line="276" w:lineRule="auto"/>
      </w:pPr>
      <w:r>
        <w:t>全5データセットでk &lt; 1（範囲: 0.613-0.775、平均0.689）が得られ、DFRパターンが確認された（表1、図1）。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Cardiac Rehabデータセットのワイブルパラメータ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データセット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k（形状）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λ（尺度）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Phase-I-Inpatient</w:t>
            </w:r>
          </w:p>
        </w:tc>
        <w:tc>
          <w:tcPr>
            <w:tcW w:type="dxa" w:w="1560"/>
          </w:tcPr>
          <w:p>
            <w:r>
              <w:t>3,200</w:t>
            </w:r>
          </w:p>
        </w:tc>
        <w:tc>
          <w:tcPr>
            <w:tcW w:type="dxa" w:w="1560"/>
          </w:tcPr>
          <w:p>
            <w:r>
              <w:t>0.775</w:t>
            </w:r>
          </w:p>
        </w:tc>
        <w:tc>
          <w:tcPr>
            <w:tcW w:type="dxa" w:w="1560"/>
          </w:tcPr>
          <w:p>
            <w:r>
              <w:t>0.679-0.895</w:t>
            </w:r>
          </w:p>
        </w:tc>
        <w:tc>
          <w:tcPr>
            <w:tcW w:type="dxa" w:w="1560"/>
          </w:tcPr>
          <w:p>
            <w:r>
              <w:t>8.70</w:t>
            </w:r>
          </w:p>
        </w:tc>
        <w:tc>
          <w:tcPr>
            <w:tcW w:type="dxa" w:w="1560"/>
          </w:tcPr>
          <w:p>
            <w:r>
              <w:t>0.9971</w:t>
            </w:r>
          </w:p>
        </w:tc>
      </w:tr>
      <w:tr>
        <w:tc>
          <w:tcPr>
            <w:tcW w:type="dxa" w:w="1560"/>
          </w:tcPr>
          <w:p>
            <w:r>
              <w:t>Phase-II-Outpatient</w:t>
            </w:r>
          </w:p>
        </w:tc>
        <w:tc>
          <w:tcPr>
            <w:tcW w:type="dxa" w:w="1560"/>
          </w:tcPr>
          <w:p>
            <w:r>
              <w:t>12,500</w:t>
            </w:r>
          </w:p>
        </w:tc>
        <w:tc>
          <w:tcPr>
            <w:tcW w:type="dxa" w:w="1560"/>
          </w:tcPr>
          <w:p>
            <w:r>
              <w:t>0.613</w:t>
            </w:r>
          </w:p>
        </w:tc>
        <w:tc>
          <w:tcPr>
            <w:tcW w:type="dxa" w:w="1560"/>
          </w:tcPr>
          <w:p>
            <w:r>
              <w:t>0.497-0.715</w:t>
            </w:r>
          </w:p>
        </w:tc>
        <w:tc>
          <w:tcPr>
            <w:tcW w:type="dxa" w:w="1560"/>
          </w:tcPr>
          <w:p>
            <w:r>
              <w:t>11.03</w:t>
            </w:r>
          </w:p>
        </w:tc>
        <w:tc>
          <w:tcPr>
            <w:tcW w:type="dxa" w:w="1560"/>
          </w:tcPr>
          <w:p>
            <w:r>
              <w:t>0.9807</w:t>
            </w:r>
          </w:p>
        </w:tc>
      </w:tr>
      <w:tr>
        <w:tc>
          <w:tcPr>
            <w:tcW w:type="dxa" w:w="1560"/>
          </w:tcPr>
          <w:p>
            <w:r>
              <w:t>Phase-III-Maintenance</w:t>
            </w:r>
          </w:p>
        </w:tc>
        <w:tc>
          <w:tcPr>
            <w:tcW w:type="dxa" w:w="1560"/>
          </w:tcPr>
          <w:p>
            <w:r>
              <w:t>5,800</w:t>
            </w:r>
          </w:p>
        </w:tc>
        <w:tc>
          <w:tcPr>
            <w:tcW w:type="dxa" w:w="1560"/>
          </w:tcPr>
          <w:p>
            <w:r>
              <w:t>0.670</w:t>
            </w:r>
          </w:p>
        </w:tc>
        <w:tc>
          <w:tcPr>
            <w:tcW w:type="dxa" w:w="1560"/>
          </w:tcPr>
          <w:p>
            <w:r>
              <w:t>0.616-0.732</w:t>
            </w:r>
          </w:p>
        </w:tc>
        <w:tc>
          <w:tcPr>
            <w:tcW w:type="dxa" w:w="1560"/>
          </w:tcPr>
          <w:p>
            <w:r>
              <w:t>20.28</w:t>
            </w:r>
          </w:p>
        </w:tc>
        <w:tc>
          <w:tcPr>
            <w:tcW w:type="dxa" w:w="1560"/>
          </w:tcPr>
          <w:p>
            <w:r>
              <w:t>0.9961</w:t>
            </w:r>
          </w:p>
        </w:tc>
      </w:tr>
      <w:tr>
        <w:tc>
          <w:tcPr>
            <w:tcW w:type="dxa" w:w="1560"/>
          </w:tcPr>
          <w:p>
            <w:r>
              <w:t>Post-MI</w:t>
            </w:r>
          </w:p>
        </w:tc>
        <w:tc>
          <w:tcPr>
            <w:tcW w:type="dxa" w:w="1560"/>
          </w:tcPr>
          <w:p>
            <w:r>
              <w:t>8,500</w:t>
            </w:r>
          </w:p>
        </w:tc>
        <w:tc>
          <w:tcPr>
            <w:tcW w:type="dxa" w:w="1560"/>
          </w:tcPr>
          <w:p>
            <w:r>
              <w:t>0.664</w:t>
            </w:r>
          </w:p>
        </w:tc>
        <w:tc>
          <w:tcPr>
            <w:tcW w:type="dxa" w:w="1560"/>
          </w:tcPr>
          <w:p>
            <w:r>
              <w:t>0.577-0.757</w:t>
            </w:r>
          </w:p>
        </w:tc>
        <w:tc>
          <w:tcPr>
            <w:tcW w:type="dxa" w:w="1560"/>
          </w:tcPr>
          <w:p>
            <w:r>
              <w:t>12.38</w:t>
            </w:r>
          </w:p>
        </w:tc>
        <w:tc>
          <w:tcPr>
            <w:tcW w:type="dxa" w:w="1560"/>
          </w:tcPr>
          <w:p>
            <w:r>
              <w:t>0.9877</w:t>
            </w:r>
          </w:p>
        </w:tc>
      </w:tr>
      <w:tr>
        <w:tc>
          <w:tcPr>
            <w:tcW w:type="dxa" w:w="1560"/>
          </w:tcPr>
          <w:p>
            <w:r>
              <w:t>Post-CABG</w:t>
            </w:r>
          </w:p>
        </w:tc>
        <w:tc>
          <w:tcPr>
            <w:tcW w:type="dxa" w:w="1560"/>
          </w:tcPr>
          <w:p>
            <w:r>
              <w:t>4,200</w:t>
            </w:r>
          </w:p>
        </w:tc>
        <w:tc>
          <w:tcPr>
            <w:tcW w:type="dxa" w:w="1560"/>
          </w:tcPr>
          <w:p>
            <w:r>
              <w:t>0.722</w:t>
            </w:r>
          </w:p>
        </w:tc>
        <w:tc>
          <w:tcPr>
            <w:tcW w:type="dxa" w:w="1560"/>
          </w:tcPr>
          <w:p>
            <w:r>
              <w:t>0.630-0.829</w:t>
            </w:r>
          </w:p>
        </w:tc>
        <w:tc>
          <w:tcPr>
            <w:tcW w:type="dxa" w:w="1560"/>
          </w:tcPr>
          <w:p>
            <w:r>
              <w:t>13.61</w:t>
            </w:r>
          </w:p>
        </w:tc>
        <w:tc>
          <w:tcPr>
            <w:tcW w:type="dxa" w:w="1560"/>
          </w:tcPr>
          <w:p>
            <w:r>
              <w:t>0.9905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5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ardiac_rehabilitation_dropout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Cardiac Rehabの維持曲線とワイブル適合（左）およびハザード関数（右）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cardiac_rehabilitation_dropout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Cardiac Rehabのワイブル確率プロット（適合度評価）</w:t>
      </w:r>
    </w:p>
    <w:p>
      <w:pPr>
        <w:pStyle w:val="Heading1"/>
      </w:pPr>
      <w:r>
        <w:t>3. 結論</w:t>
      </w:r>
    </w:p>
    <w:p>
      <w:pPr>
        <w:spacing w:before="0" w:after="240" w:line="276" w:lineRule="auto"/>
      </w:pPr>
      <w:r>
        <w:t>Cardiac Rehab治療脱落はDFRパターン（平均k=0.689）に従う。信頼性工学フレームワークはフェーズ特異的維持戦略設計の定量的基盤を提供する。</w:t>
      </w:r>
    </w:p>
    <w:p>
      <w:pPr>
        <w:pStyle w:val="Heading1"/>
      </w:pPr>
      <w:r>
        <w:t>参考文献</w:t>
      </w:r>
    </w:p>
    <w:p>
      <w:pPr>
        <w:spacing w:before="0" w:after="40" w:line="276" w:lineRule="auto"/>
      </w:pPr>
      <w:r>
        <w:t>1. Anderson L, Oldridge N, Thompson DR, et al. Exercise-based cardiac rehabilitation for coronary heart disease: Cochrane systematic review and meta-analysis. J Am Coll Cardiol. 2016;67(1):1-12.</w:t>
      </w:r>
    </w:p>
    <w:p>
      <w:pPr>
        <w:spacing w:before="0" w:after="40" w:line="276" w:lineRule="auto"/>
      </w:pPr>
      <w:r>
        <w:t>2. Turk-Adawi K, Sarrafzadegan N, Grace SL. Global availability of cardiac rehabilitation. Nat Rev Cardiol. 2014;11(10):586-596.</w:t>
      </w:r>
    </w:p>
    <w:p>
      <w:pPr>
        <w:spacing w:before="0" w:after="40" w:line="276" w:lineRule="auto"/>
      </w:pPr>
      <w:r>
        <w:t>3. Kotseva K, De Backer G, De Bacquer D, et al. Lifestyle and impact on cardiovascular risk factor control in coronary patients across 27 countries. Eur J Prev Cardiol. 2019;26(8):824-835.</w:t>
      </w:r>
    </w:p>
    <w:p>
      <w:pPr>
        <w:spacing w:before="0" w:after="40" w:line="276" w:lineRule="auto"/>
      </w:pPr>
      <w:r>
        <w:t>4. Weibull W. A statistical distribution function of wide applicability. J Appl Mech. 1951;18(3):293-297.</w:t>
      </w:r>
    </w:p>
    <w:p>
      <w:pPr>
        <w:spacing w:before="0" w:after="40" w:line="276" w:lineRule="auto"/>
      </w:pPr>
      <w:r>
        <w:t>5. Thomas RJ, Beatty AL, Beckie TM, et al. Home-based cardiac rehabilitation: a scientific statement from the AHA. Circulation. 2019;140(2):e69-e89.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