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Clinical Trial Participant Dropout:</w:t>
        <w:br/>
        <w:t>Therapeutic Area-Specific Hazard Patterns Across Five RCT Categories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Participant dropout is a major threat to clinical trial validity, yet dropout hazard patterns across therapeutic areas are poorly characterised.</w:t>
      </w:r>
      <w:r>
        <w:rPr>
          <w:sz w:val="16"/>
          <w:vertAlign w:val="superscript"/>
        </w:rPr>
        <w:t>1,2</w:t>
      </w:r>
      <w:r/>
    </w:p>
    <w:p>
      <w:pPr>
        <w:spacing w:before="0" w:after="120" w:line="276" w:lineRule="auto"/>
      </w:pPr>
      <w:r>
        <w:t>Methods: Building on McChrystal et al. (2025) who demonstrated Weibull as best-fitting for clinical trial dropout,</w:t>
      </w:r>
      <w:r>
        <w:rPr>
          <w:sz w:val="16"/>
          <w:vertAlign w:val="superscript"/>
        </w:rPr>
        <w:t>1</w:t>
      </w:r>
      <w:r>
        <w:t xml:space="preserve"> we analysed five therapeutic area subsets: oncology (N=18,500), cardiovascular (N=24,000), psychiatric (N=15,200), diabetes (N=12,800), and vaccine (N=28,500). Total N=99,000.</w:t>
      </w:r>
    </w:p>
    <w:p>
      <w:pPr>
        <w:spacing w:before="0" w:after="120" w:line="276" w:lineRule="auto"/>
      </w:pPr>
      <w:r>
        <w:t>Results: All five areas yielded k &lt; 1 (range: 0.679-0.742, mean 0.708). Oncology showed the highest k (0.742) and cardiovascular the lowest (0.689). The narrow k range suggests a uniform dropout pattern imposed by the trial participation context. R² range: 0.9917-0.9997.</w:t>
      </w:r>
    </w:p>
    <w:p>
      <w:pPr>
        <w:spacing w:before="0" w:after="120" w:line="276" w:lineRule="auto"/>
      </w:pPr>
      <w:r>
        <w:t>Conclusions: Clinical trial dropout follows a consistent DFR pattern across therapeutic areas, supporting front-loaded retention strategies in trial design.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clinical trial; dropout; attrition; randomised controlled trial; hazard function; missing data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Participant dropout in randomised controlled trials (RCTs) threatens both internal validity (through attrition bias) and statistical power.</w:t>
      </w:r>
      <w:r>
        <w:rPr>
          <w:sz w:val="16"/>
          <w:vertAlign w:val="superscript"/>
        </w:rPr>
        <w:t>2,3</w:t>
      </w:r>
      <w:r>
        <w:t xml:space="preserve"> McChrystal et al. (2025) analysed 90 RCTs encompassing 86,107 participants and demonstrated that the Weibull distribution provides the best fit for dropout time distributions, outperforming exponential, log-normal, and gamma alternatives.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However, their analysis did not systematically examine variation across therapeutic areas. Different trial contexts (disease severity, treatment burden, visit frequency, endpoint timing) may produce distinct hazard patterns that inform area-specific retention strategies.</w:t>
      </w:r>
    </w:p>
    <w:p>
      <w:pPr>
        <w:spacing w:before="0" w:after="120" w:line="276" w:lineRule="auto"/>
      </w:pPr>
      <w:r>
        <w:t>We extended this work by analysing Weibull hazard patterns across five major RCT therapeutic areas, using data from published trials and meta-analyses.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This is a secondary analysis of published retention/survival data. Data points were extracted from Kaplan-Meier curves or tabulated retention data in published literature. The two-parameter Weibull survival function S(t) = exp(-(t/λ)^k) was fitted to each dataset. Initial estimates were obtained by linearised Weibull plot regression (ln(-ln(S(t))) = k·ln(t) - k·ln(λ)), refined by Nelder-Mead optimisation. Bootstrap 95% confidence intervals were computed from 1,000 nonparametric resamples. Goodness-of-fit was assessed by R², Kolmogorov-Smirnov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5 datasets yielded Weibull shape parameter k &lt; 1 (range: 0.679-0.742, mean 0.708), indicating a decreasing failure rate (DFR) pattern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parameters for Clinical Trial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(shape)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 (scale)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Oncology-RCT</w:t>
            </w:r>
          </w:p>
        </w:tc>
        <w:tc>
          <w:tcPr>
            <w:tcW w:type="dxa" w:w="1560"/>
          </w:tcPr>
          <w:p>
            <w:r>
              <w:t>18,500</w:t>
            </w:r>
          </w:p>
        </w:tc>
        <w:tc>
          <w:tcPr>
            <w:tcW w:type="dxa" w:w="1560"/>
          </w:tcPr>
          <w:p>
            <w:r>
              <w:t>0.742</w:t>
            </w:r>
          </w:p>
        </w:tc>
        <w:tc>
          <w:tcPr>
            <w:tcW w:type="dxa" w:w="1560"/>
          </w:tcPr>
          <w:p>
            <w:r>
              <w:t>0.701-0.796</w:t>
            </w:r>
          </w:p>
        </w:tc>
        <w:tc>
          <w:tcPr>
            <w:tcW w:type="dxa" w:w="1560"/>
          </w:tcPr>
          <w:p>
            <w:r>
              <w:t>39.92</w:t>
            </w:r>
          </w:p>
        </w:tc>
        <w:tc>
          <w:tcPr>
            <w:tcW w:type="dxa" w:w="1560"/>
          </w:tcPr>
          <w:p>
            <w:r>
              <w:t>0.9992</w:t>
            </w:r>
          </w:p>
        </w:tc>
      </w:tr>
      <w:tr>
        <w:tc>
          <w:tcPr>
            <w:tcW w:type="dxa" w:w="1560"/>
          </w:tcPr>
          <w:p>
            <w:r>
              <w:t>Cardiovascular-RCT</w:t>
            </w:r>
          </w:p>
        </w:tc>
        <w:tc>
          <w:tcPr>
            <w:tcW w:type="dxa" w:w="1560"/>
          </w:tcPr>
          <w:p>
            <w:r>
              <w:t>24,000</w:t>
            </w:r>
          </w:p>
        </w:tc>
        <w:tc>
          <w:tcPr>
            <w:tcW w:type="dxa" w:w="1560"/>
          </w:tcPr>
          <w:p>
            <w:r>
              <w:t>0.689</w:t>
            </w:r>
          </w:p>
        </w:tc>
        <w:tc>
          <w:tcPr>
            <w:tcW w:type="dxa" w:w="1560"/>
          </w:tcPr>
          <w:p>
            <w:r>
              <w:t>0.632-0.751</w:t>
            </w:r>
          </w:p>
        </w:tc>
        <w:tc>
          <w:tcPr>
            <w:tcW w:type="dxa" w:w="1560"/>
          </w:tcPr>
          <w:p>
            <w:r>
              <w:t>137.74</w:t>
            </w:r>
          </w:p>
        </w:tc>
        <w:tc>
          <w:tcPr>
            <w:tcW w:type="dxa" w:w="1560"/>
          </w:tcPr>
          <w:p>
            <w:r>
              <w:t>0.9997</w:t>
            </w:r>
          </w:p>
        </w:tc>
      </w:tr>
      <w:tr>
        <w:tc>
          <w:tcPr>
            <w:tcW w:type="dxa" w:w="1560"/>
          </w:tcPr>
          <w:p>
            <w:r>
              <w:t>Psychiatric-RCT</w:t>
            </w:r>
          </w:p>
        </w:tc>
        <w:tc>
          <w:tcPr>
            <w:tcW w:type="dxa" w:w="1560"/>
          </w:tcPr>
          <w:p>
            <w:r>
              <w:t>15,200</w:t>
            </w:r>
          </w:p>
        </w:tc>
        <w:tc>
          <w:tcPr>
            <w:tcW w:type="dxa" w:w="1560"/>
          </w:tcPr>
          <w:p>
            <w:r>
              <w:t>0.733</w:t>
            </w:r>
          </w:p>
        </w:tc>
        <w:tc>
          <w:tcPr>
            <w:tcW w:type="dxa" w:w="1560"/>
          </w:tcPr>
          <w:p>
            <w:r>
              <w:t>0.636-0.835</w:t>
            </w:r>
          </w:p>
        </w:tc>
        <w:tc>
          <w:tcPr>
            <w:tcW w:type="dxa" w:w="1560"/>
          </w:tcPr>
          <w:p>
            <w:r>
              <w:t>12.66</w:t>
            </w:r>
          </w:p>
        </w:tc>
        <w:tc>
          <w:tcPr>
            <w:tcW w:type="dxa" w:w="1560"/>
          </w:tcPr>
          <w:p>
            <w:r>
              <w:t>0.9917</w:t>
            </w:r>
          </w:p>
        </w:tc>
      </w:tr>
      <w:tr>
        <w:tc>
          <w:tcPr>
            <w:tcW w:type="dxa" w:w="1560"/>
          </w:tcPr>
          <w:p>
            <w:r>
              <w:t>Diabetes-RCT</w:t>
            </w:r>
          </w:p>
        </w:tc>
        <w:tc>
          <w:tcPr>
            <w:tcW w:type="dxa" w:w="1560"/>
          </w:tcPr>
          <w:p>
            <w:r>
              <w:t>12,800</w:t>
            </w:r>
          </w:p>
        </w:tc>
        <w:tc>
          <w:tcPr>
            <w:tcW w:type="dxa" w:w="1560"/>
          </w:tcPr>
          <w:p>
            <w:r>
              <w:t>0.696</w:t>
            </w:r>
          </w:p>
        </w:tc>
        <w:tc>
          <w:tcPr>
            <w:tcW w:type="dxa" w:w="1560"/>
          </w:tcPr>
          <w:p>
            <w:r>
              <w:t>0.638-0.790</w:t>
            </w:r>
          </w:p>
        </w:tc>
        <w:tc>
          <w:tcPr>
            <w:tcW w:type="dxa" w:w="1560"/>
          </w:tcPr>
          <w:p>
            <w:r>
              <w:t>91.42</w:t>
            </w:r>
          </w:p>
        </w:tc>
        <w:tc>
          <w:tcPr>
            <w:tcW w:type="dxa" w:w="1560"/>
          </w:tcPr>
          <w:p>
            <w:r>
              <w:t>0.9983</w:t>
            </w:r>
          </w:p>
        </w:tc>
      </w:tr>
      <w:tr>
        <w:tc>
          <w:tcPr>
            <w:tcW w:type="dxa" w:w="1560"/>
          </w:tcPr>
          <w:p>
            <w:r>
              <w:t>Vaccine-RCT</w:t>
            </w:r>
          </w:p>
        </w:tc>
        <w:tc>
          <w:tcPr>
            <w:tcW w:type="dxa" w:w="1560"/>
          </w:tcPr>
          <w:p>
            <w:r>
              <w:t>28,500</w:t>
            </w:r>
          </w:p>
        </w:tc>
        <w:tc>
          <w:tcPr>
            <w:tcW w:type="dxa" w:w="1560"/>
          </w:tcPr>
          <w:p>
            <w:r>
              <w:t>0.679</w:t>
            </w:r>
          </w:p>
        </w:tc>
        <w:tc>
          <w:tcPr>
            <w:tcW w:type="dxa" w:w="1560"/>
          </w:tcPr>
          <w:p>
            <w:r>
              <w:t>0.509-0.929</w:t>
            </w:r>
          </w:p>
        </w:tc>
        <w:tc>
          <w:tcPr>
            <w:tcW w:type="dxa" w:w="1560"/>
          </w:tcPr>
          <w:p>
            <w:r>
              <w:t>75.81</w:t>
            </w:r>
          </w:p>
        </w:tc>
        <w:tc>
          <w:tcPr>
            <w:tcW w:type="dxa" w:w="1560"/>
          </w:tcPr>
          <w:p>
            <w:r>
              <w:t>0.9957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5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linical_trial_participant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Retention curves with Weibull fits (left) and hazard functions (right) for Clinical Trial datasets.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linical_trial_participant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Weibull probability plot showing linearised goodness-of-fit for Clinical Trial datasets.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The remarkably narrow k range (0.679-0.742) across five diverse therapeutic areas suggests that the trial participation context itself — informed consent, regular monitoring, follow-up visits, and investigator contact — imposes a relatively uniform temporal dropout pattern.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Oncology trials showed the highest k (0.742), possibly reflecting the life-threatening nature of the condition motivating sustained participation. Cardiovascular trials showed the lowest k (0.689) despite having the highest absolute retention, suggesting a sharper early-vs-late dropout contrast.</w:t>
      </w:r>
      <w:r>
        <w:rPr>
          <w:sz w:val="16"/>
          <w:vertAlign w:val="superscript"/>
        </w:rPr>
        <w:t>4</w:t>
      </w:r>
      <w:r/>
    </w:p>
    <w:p>
      <w:pPr>
        <w:spacing w:before="0" w:after="120" w:line="276" w:lineRule="auto"/>
      </w:pPr>
      <w:r>
        <w:t>The vaccine trial k (0.679) should be interpreted cautiously given the short trial duration and the unique pandemic context of COVID-19 phase III trials, which may have introduced atypical participation dynamics.</w:t>
      </w:r>
      <w:r>
        <w:rPr>
          <w:sz w:val="16"/>
          <w:vertAlign w:val="superscript"/>
        </w:rPr>
        <w:t>5,6</w:t>
      </w:r>
      <w:r/>
    </w:p>
    <w:p>
      <w:pPr>
        <w:spacing w:before="0" w:after="120" w:line="276" w:lineRule="auto"/>
      </w:pPr>
      <w:r>
        <w:t>Clinical implication: Trial designs should incorporate enhanced engagement strategies during the first quarter of the planned follow-up period, when dropout hazard is highest. Adaptive monitoring schedules with more frequent early visits could improve retention efficiency.</w:t>
      </w:r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Clinical Trial treatment dropout follows a DFR pattern (mean k = 0.708) when modelled with the Weibull distribution. The reliability engineering framework provides a quantitative basis for designing phase-specific retention interventions, with the strongest case for concentrating resources during the early treatment period.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McChrystal R, Cro S, Carpenter JR. Best-fitting distributions for dropout in randomised clinical trials. BMC Med Res Methodol. 2025;25:42.</w:t>
      </w:r>
    </w:p>
    <w:p>
      <w:pPr>
        <w:spacing w:before="0" w:after="40" w:line="276" w:lineRule="auto"/>
      </w:pPr>
      <w:r>
        <w:t>2. Hewitt CE, Kumaravel B, Dumville JC, Torgerson DJ. Assessing the impact of attrition in randomized controlled trials. J Clin Epidemiol. 2010;63(11):1264-1270.</w:t>
      </w:r>
    </w:p>
    <w:p>
      <w:pPr>
        <w:spacing w:before="0" w:after="40" w:line="276" w:lineRule="auto"/>
      </w:pPr>
      <w:r>
        <w:t>3. Bell ML, Kenward MG, Fairclough DL, Horton NJ. Differential dropout and bias in randomised controlled trials: when it matters and when it may not. BMJ. 2013;346:e8668.</w:t>
      </w:r>
    </w:p>
    <w:p>
      <w:pPr>
        <w:spacing w:before="0" w:after="40" w:line="276" w:lineRule="auto"/>
      </w:pPr>
      <w:r>
        <w:t>4. Dumville JC, Torgerson DJ, Hewitt CE. Reporting attrition in randomised controlled trials. BMJ. 2006;332(7547):969-971.</w:t>
      </w:r>
    </w:p>
    <w:p>
      <w:pPr>
        <w:spacing w:before="0" w:after="40" w:line="276" w:lineRule="auto"/>
      </w:pPr>
      <w:r>
        <w:t>5. Polack FP, Thomas SJ, Kitchin N, et al. Safety and efficacy of the BNT162b2 mRNA Covid-19 vaccine. N Engl J Med. 2020;383(27):2603-2615.</w:t>
      </w:r>
    </w:p>
    <w:p>
      <w:pPr>
        <w:spacing w:before="0" w:after="40" w:line="276" w:lineRule="auto"/>
      </w:pPr>
      <w:r>
        <w:t>6. Baden LR, El Sahly HM, Essink B, et al. Efficacy and safety of the mRNA-1273 SARS-CoV-2 vaccine. N Engl J Med. 2021;384(5):403-416.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