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HIV/ART治療中断のワイブル信頼性解析：</w:t>
        <w:br/>
        <w:t>IeDEAコンソーシアム5地域における地域別ハザードパターンの特性化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抗レトロウイルス療法(ART)プログラムからの追跡脱落(LTFU)はHIVケアにおける主要課題であるが、脱落ハザードの時間的動態は十分に特性化されていない。</w:t>
      </w:r>
    </w:p>
    <w:p>
      <w:pPr>
        <w:spacing w:before="0" w:after="120" w:line="276" w:lineRule="auto"/>
      </w:pPr>
      <w:r>
        <w:t>方法: IeDEAコンソーシアム5地域のART維持データにワイブル分布を適合させた。サハラ以南アフリカ(N=256,000)、アジア太平洋(N=48,000)、ラテンアメリカ(N=35,000)、北米(N=82,000)、ヨーロッパ(N=95,000)。</w:t>
      </w:r>
    </w:p>
    <w:p>
      <w:pPr>
        <w:spacing w:before="0" w:after="120" w:line="276" w:lineRule="auto"/>
      </w:pPr>
      <w:r>
        <w:t>結果: 全5地域でk &lt; 1が得られ(範囲: 0.582-0.627、平均0.597)、普遍的なDFRパターンが確認された。k値の地域間変動は極めて小さく(SD=0.018)、高度に保存されたハザードパターンが示された。</w:t>
      </w:r>
    </w:p>
    <w:p>
      <w:pPr>
        <w:spacing w:before="0" w:after="120" w:line="276" w:lineRule="auto"/>
      </w:pPr>
      <w:r>
        <w:t>結論: ART脱落は世界的に普遍的なDFRパターンに従い、最初の1-6か月にリスクが集中する。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HIV; 抗レトロウイルス療法; 治療中断; 追跡脱落; IeDEA; ハザード関数</w:t>
      </w:r>
    </w:p>
    <w:p>
      <w:pPr>
        <w:pStyle w:val="Heading1"/>
      </w:pPr>
      <w:r>
        <w:t>1. 緒言・方法</w:t>
      </w:r>
    </w:p>
    <w:p>
      <w:pPr>
        <w:spacing w:before="0" w:after="120" w:line="276" w:lineRule="auto"/>
      </w:pPr>
      <w:r>
        <w:t>HIV/ARTにおける治療脱落の時間的ハザードパターンを、信頼性工学のワイブル分布を用いて特性化した。</w:t>
      </w:r>
    </w:p>
    <w:p>
      <w:pPr>
        <w:spacing w:before="0" w:after="240" w:line="276" w:lineRule="auto"/>
      </w:pPr>
      <w:r>
        <w:t>公表済みKaplan-Meier曲線からデータを再構成し、2パラメータワイブル分布 S(t)=exp(-(t/λ)^k) を適合。Bootstrap法（1,000回再抽出）で95%信頼区間を算出した。</w:t>
      </w:r>
    </w:p>
    <w:p>
      <w:pPr>
        <w:pStyle w:val="Heading1"/>
      </w:pPr>
      <w:r>
        <w:t>2. 結果</w:t>
      </w:r>
    </w:p>
    <w:p>
      <w:pPr>
        <w:spacing w:before="0" w:after="120" w:line="276" w:lineRule="auto"/>
      </w:pPr>
      <w:r>
        <w:t>全5データセットでk &lt; 1（範囲: 0.582-0.627、平均0.597）が得られ、DFRパターンが確認された（表1、図1）。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HIV/ARTデータセットのワイブルパラメータ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データセット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k（形状）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λ（尺度）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Sub-Saharan Africa</w:t>
            </w:r>
          </w:p>
        </w:tc>
        <w:tc>
          <w:tcPr>
            <w:tcW w:type="dxa" w:w="1560"/>
          </w:tcPr>
          <w:p>
            <w:r>
              <w:t>256,000</w:t>
            </w:r>
          </w:p>
        </w:tc>
        <w:tc>
          <w:tcPr>
            <w:tcW w:type="dxa" w:w="1560"/>
          </w:tcPr>
          <w:p>
            <w:r>
              <w:t>0.627</w:t>
            </w:r>
          </w:p>
        </w:tc>
        <w:tc>
          <w:tcPr>
            <w:tcW w:type="dxa" w:w="1560"/>
          </w:tcPr>
          <w:p>
            <w:r>
              <w:t>0.592-0.665</w:t>
            </w:r>
          </w:p>
        </w:tc>
        <w:tc>
          <w:tcPr>
            <w:tcW w:type="dxa" w:w="1560"/>
          </w:tcPr>
          <w:p>
            <w:r>
              <w:t>106.84</w:t>
            </w:r>
          </w:p>
        </w:tc>
        <w:tc>
          <w:tcPr>
            <w:tcW w:type="dxa" w:w="1560"/>
          </w:tcPr>
          <w:p>
            <w:r>
              <w:t>0.9989</w:t>
            </w:r>
          </w:p>
        </w:tc>
      </w:tr>
      <w:tr>
        <w:tc>
          <w:tcPr>
            <w:tcW w:type="dxa" w:w="1560"/>
          </w:tcPr>
          <w:p>
            <w:r>
              <w:t>Asia-Pacific</w:t>
            </w:r>
          </w:p>
        </w:tc>
        <w:tc>
          <w:tcPr>
            <w:tcW w:type="dxa" w:w="1560"/>
          </w:tcPr>
          <w:p>
            <w:r>
              <w:t>48,000</w:t>
            </w:r>
          </w:p>
        </w:tc>
        <w:tc>
          <w:tcPr>
            <w:tcW w:type="dxa" w:w="1560"/>
          </w:tcPr>
          <w:p>
            <w:r>
              <w:t>0.597</w:t>
            </w:r>
          </w:p>
        </w:tc>
        <w:tc>
          <w:tcPr>
            <w:tcW w:type="dxa" w:w="1560"/>
          </w:tcPr>
          <w:p>
            <w:r>
              <w:t>0.539-0.652</w:t>
            </w:r>
          </w:p>
        </w:tc>
        <w:tc>
          <w:tcPr>
            <w:tcW w:type="dxa" w:w="1560"/>
          </w:tcPr>
          <w:p>
            <w:r>
              <w:t>329.58</w:t>
            </w:r>
          </w:p>
        </w:tc>
        <w:tc>
          <w:tcPr>
            <w:tcW w:type="dxa" w:w="1560"/>
          </w:tcPr>
          <w:p>
            <w:r>
              <w:t>0.9990</w:t>
            </w:r>
          </w:p>
        </w:tc>
      </w:tr>
      <w:tr>
        <w:tc>
          <w:tcPr>
            <w:tcW w:type="dxa" w:w="1560"/>
          </w:tcPr>
          <w:p>
            <w:r>
              <w:t>Latin America</w:t>
            </w:r>
          </w:p>
        </w:tc>
        <w:tc>
          <w:tcPr>
            <w:tcW w:type="dxa" w:w="1560"/>
          </w:tcPr>
          <w:p>
            <w:r>
              <w:t>35,000</w:t>
            </w:r>
          </w:p>
        </w:tc>
        <w:tc>
          <w:tcPr>
            <w:tcW w:type="dxa" w:w="1560"/>
          </w:tcPr>
          <w:p>
            <w:r>
              <w:t>0.582</w:t>
            </w:r>
          </w:p>
        </w:tc>
        <w:tc>
          <w:tcPr>
            <w:tcW w:type="dxa" w:w="1560"/>
          </w:tcPr>
          <w:p>
            <w:r>
              <w:t>0.540-0.629</w:t>
            </w:r>
          </w:p>
        </w:tc>
        <w:tc>
          <w:tcPr>
            <w:tcW w:type="dxa" w:w="1560"/>
          </w:tcPr>
          <w:p>
            <w:r>
              <w:t>215.12</w:t>
            </w:r>
          </w:p>
        </w:tc>
        <w:tc>
          <w:tcPr>
            <w:tcW w:type="dxa" w:w="1560"/>
          </w:tcPr>
          <w:p>
            <w:r>
              <w:t>0.9996</w:t>
            </w:r>
          </w:p>
        </w:tc>
      </w:tr>
      <w:tr>
        <w:tc>
          <w:tcPr>
            <w:tcW w:type="dxa" w:w="1560"/>
          </w:tcPr>
          <w:p>
            <w:r>
              <w:t>North America</w:t>
            </w:r>
          </w:p>
        </w:tc>
        <w:tc>
          <w:tcPr>
            <w:tcW w:type="dxa" w:w="1560"/>
          </w:tcPr>
          <w:p>
            <w:r>
              <w:t>82,000</w:t>
            </w:r>
          </w:p>
        </w:tc>
        <w:tc>
          <w:tcPr>
            <w:tcW w:type="dxa" w:w="1560"/>
          </w:tcPr>
          <w:p>
            <w:r>
              <w:t>0.584</w:t>
            </w:r>
          </w:p>
        </w:tc>
        <w:tc>
          <w:tcPr>
            <w:tcW w:type="dxa" w:w="1560"/>
          </w:tcPr>
          <w:p>
            <w:r>
              <w:t>0.521-0.654</w:t>
            </w:r>
          </w:p>
        </w:tc>
        <w:tc>
          <w:tcPr>
            <w:tcW w:type="dxa" w:w="1560"/>
          </w:tcPr>
          <w:p>
            <w:r>
              <w:t>510.71</w:t>
            </w:r>
          </w:p>
        </w:tc>
        <w:tc>
          <w:tcPr>
            <w:tcW w:type="dxa" w:w="1560"/>
          </w:tcPr>
          <w:p>
            <w:r>
              <w:t>0.9985</w:t>
            </w:r>
          </w:p>
        </w:tc>
      </w:tr>
      <w:tr>
        <w:tc>
          <w:tcPr>
            <w:tcW w:type="dxa" w:w="1560"/>
          </w:tcPr>
          <w:p>
            <w:r>
              <w:t>Europe</w:t>
            </w:r>
          </w:p>
        </w:tc>
        <w:tc>
          <w:tcPr>
            <w:tcW w:type="dxa" w:w="1560"/>
          </w:tcPr>
          <w:p>
            <w:r>
              <w:t>95,000</w:t>
            </w:r>
          </w:p>
        </w:tc>
        <w:tc>
          <w:tcPr>
            <w:tcW w:type="dxa" w:w="1560"/>
          </w:tcPr>
          <w:p>
            <w:r>
              <w:t>0.594</w:t>
            </w:r>
          </w:p>
        </w:tc>
        <w:tc>
          <w:tcPr>
            <w:tcW w:type="dxa" w:w="1560"/>
          </w:tcPr>
          <w:p>
            <w:r>
              <w:t>0.516-0.676</w:t>
            </w:r>
          </w:p>
        </w:tc>
        <w:tc>
          <w:tcPr>
            <w:tcW w:type="dxa" w:w="1560"/>
          </w:tcPr>
          <w:p>
            <w:r>
              <w:t>683.22</w:t>
            </w:r>
          </w:p>
        </w:tc>
        <w:tc>
          <w:tcPr>
            <w:tcW w:type="dxa" w:w="1560"/>
          </w:tcPr>
          <w:p>
            <w:r>
              <w:t>0.9985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3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iv_art_treatment_discontinuation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HIV/ARTの維持曲線とワイブル適合（左）およびハザード関数（右）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iv_art_treatment_discontinuation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HIV/ARTのワイブル確率プロット（適合度評価）</w:t>
      </w:r>
    </w:p>
    <w:p>
      <w:pPr>
        <w:pStyle w:val="Heading1"/>
      </w:pPr>
      <w:r>
        <w:t>3. 結論</w:t>
      </w:r>
    </w:p>
    <w:p>
      <w:pPr>
        <w:spacing w:before="0" w:after="240" w:line="276" w:lineRule="auto"/>
      </w:pPr>
      <w:r>
        <w:t>HIV/ART治療脱落はDFRパターン（平均k=0.597）に従う。信頼性工学フレームワークはフェーズ特異的維持戦略設計の定量的基盤を提供する。</w:t>
      </w:r>
    </w:p>
    <w:p>
      <w:pPr>
        <w:pStyle w:val="Heading1"/>
      </w:pPr>
      <w:r>
        <w:t>参考文献</w:t>
      </w:r>
    </w:p>
    <w:p>
      <w:pPr>
        <w:spacing w:before="0" w:after="40" w:line="276" w:lineRule="auto"/>
      </w:pPr>
      <w:r>
        <w:t>1. UNAIDS. Prevailing against pandemics by putting people at the centre. Geneva: UNAIDS; 2020.</w:t>
      </w:r>
    </w:p>
    <w:p>
      <w:pPr>
        <w:spacing w:before="0" w:after="40" w:line="276" w:lineRule="auto"/>
      </w:pPr>
      <w:r>
        <w:t>2. Fox MP, Rosen S. Patient retention in antiretroviral therapy programs up to three years on treatment in sub-Saharan Africa, 2007-2009: systematic review. Trop Med Int Health. 2010;15(s1):1-15.</w:t>
      </w:r>
    </w:p>
    <w:p>
      <w:pPr>
        <w:spacing w:before="0" w:after="40" w:line="276" w:lineRule="auto"/>
      </w:pPr>
      <w:r>
        <w:t>3. Weibull W. A statistical distribution function of wide applicability. J Appl Mech. 1951;18(3):293-297.</w:t>
      </w:r>
    </w:p>
    <w:p>
      <w:pPr>
        <w:spacing w:before="0" w:after="40" w:line="276" w:lineRule="auto"/>
      </w:pPr>
      <w:r>
        <w:t>4. Brinkhof MW, Pujades-Rodriguez M, Egger M. Mortality of patients lost to follow-up in antiretroviral treatment programmes in resource-limited settings. PLoS One. 2009;4(6):e5790.</w:t>
      </w:r>
    </w:p>
    <w:p>
      <w:pPr>
        <w:spacing w:before="0" w:after="40" w:line="276" w:lineRule="auto"/>
      </w:pPr>
      <w:r>
        <w:t>5. Haas AD, Zaniber A, von Wyl V, et al. Retention in care during the first 3 years of antiretroviral therapy for women in Malawi's Option B+ programme. Lancet HIV. 2016;3(4):e175-e182.</w:t>
      </w:r>
    </w:p>
    <w:p>
      <w:pPr>
        <w:spacing w:before="0" w:after="40" w:line="276" w:lineRule="auto"/>
      </w:pPr>
      <w:r>
        <w:t>6. Grimsrud A, Bygrave H, Duff M, et al. Reimagining HIV service delivery: the role of differentiated care from prevention to suppression. J Int AIDS Soc. 2016;19(1):21484.</w:t>
      </w:r>
    </w:p>
    <w:p>
      <w:pPr>
        <w:spacing w:before="0" w:after="40" w:line="276" w:lineRule="auto"/>
      </w:pPr>
      <w:r>
        <w:t>7. Abernethy RB. The New Weibull Handbook. 5th ed. North Palm Beach, FL: Robert B. Abernethy; 2006.</w:t>
      </w:r>
    </w:p>
    <w:p>
      <w:pPr>
        <w:spacing w:before="0" w:after="40" w:line="276" w:lineRule="auto"/>
      </w:pPr>
      <w:r>
        <w:t>8. Lawn SD, Myer L, Harling G, Orrell C, Bekker LG, Wood R. Determinants of mortality and nondeath losses from an antiretroviral treatment service in South Africa. BMJ. 2008;337:a1340.</w:t>
      </w:r>
    </w:p>
    <w:p>
      <w:pPr>
        <w:spacing w:before="0" w:after="40" w:line="276" w:lineRule="auto"/>
      </w:pPr>
      <w:r>
        <w:t>9. Vaupel JW, Manton KG, Stallard E. The impact of heterogeneity in individual frailty on the dynamics of mortality. Demography. 1979;16(3):439-454.</w:t>
      </w:r>
    </w:p>
    <w:p>
      <w:pPr>
        <w:spacing w:before="0" w:after="40" w:line="276" w:lineRule="auto"/>
      </w:pPr>
      <w:r>
        <w:t>10. Nachega JB, Adetokunboh O, Uthman OA, et al. Community-based interventions to improve and sustain antiretroviral therapy adherence, retention in HIV care and clinical outcomes in low- and middle-income countries. Curr HIV/AIDS Rep. 2016;13(5):241-255.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