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Weibull Reliability Analysis of Substance Use Disorder Treatment Dropout:</w:t>
        <w:br/>
        <w:t>Substance-Specific Hazard Patterns Across Six Treatment Modalities</w:t>
      </w:r>
    </w:p>
    <w:p>
      <w:pPr>
        <w:spacing w:before="0" w:after="120" w:line="276" w:lineRule="auto"/>
        <w:jc w:val="center"/>
      </w:pPr>
      <w:r>
        <w:rPr>
          <w:sz w:val="22"/>
        </w:rPr>
        <w:t>Tatsuki Onishi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Corresponding author: Tatsuki Onishi (bougtoir@gmail.com)</w:t>
      </w:r>
    </w:p>
    <w:p>
      <w:pPr>
        <w:pStyle w:val="Heading1"/>
      </w:pPr>
      <w:r>
        <w:t>Abstract</w:t>
      </w:r>
    </w:p>
    <w:p>
      <w:pPr>
        <w:spacing w:before="0" w:after="120" w:line="276" w:lineRule="auto"/>
      </w:pPr>
      <w:r>
        <w:t>Background: Treatment dropout is the primary limiting factor in substance use disorder (SUD) treatment effectiveness, yet dropout hazard patterns vary by substance and treatment modality.</w:t>
      </w:r>
      <w:r>
        <w:rPr>
          <w:sz w:val="16"/>
          <w:vertAlign w:val="superscript"/>
        </w:rPr>
        <w:t>1</w:t>
      </w:r>
      <w:r/>
    </w:p>
    <w:p>
      <w:pPr>
        <w:spacing w:before="0" w:after="120" w:line="276" w:lineRule="auto"/>
      </w:pPr>
      <w:r>
        <w:t>Methods: We applied Weibull fitting to retention data from six SUD treatment modalities: opioid-methadone (N=12,500), opioid-buprenorphine (N=8,200), alcohol outpatient (N=15,000), cocaine outpatient (N=6,800), cannabis outpatient (N=4,500), and residential (N=28,000). Total N=75,000.</w:t>
      </w:r>
      <w:r>
        <w:rPr>
          <w:sz w:val="16"/>
          <w:vertAlign w:val="superscript"/>
        </w:rPr>
        <w:t>2,3</w:t>
      </w:r>
      <w:r/>
    </w:p>
    <w:p>
      <w:pPr>
        <w:spacing w:before="0" w:after="120" w:line="276" w:lineRule="auto"/>
      </w:pPr>
      <w:r>
        <w:t>Results: All six datasets yielded k &lt; 1 (range: 0.511-0.733, mean 0.639). Residential treatment showed the steepest early dropout (k=0.511), while cannabis outpatient showed the mildest (k=0.733). R² range: 0.9928-0.9979.</w:t>
      </w:r>
    </w:p>
    <w:p>
      <w:pPr>
        <w:spacing w:before="0" w:after="120" w:line="276" w:lineRule="auto"/>
      </w:pPr>
      <w:r>
        <w:t>Conclusions: SUD treatment follows a strong DFR pattern with substance-specific signatures. Residential and opioid programmes show the steepest early dropout gradients, warranting the most intensive early retention strategies.</w:t>
      </w:r>
    </w:p>
    <w:p>
      <w:pPr>
        <w:spacing w:before="0" w:after="360" w:line="276" w:lineRule="auto"/>
      </w:pPr>
      <w:r>
        <w:rPr>
          <w:b/>
        </w:rPr>
        <w:t xml:space="preserve">Keywords: </w:t>
      </w:r>
      <w:r>
        <w:t>Weibull distribution; reliability engineering; substance use disorder; treatment dropout; opioid; alcohol; cocaine; cannabis; hazard function</w:t>
      </w:r>
    </w:p>
    <w:p>
      <w:pPr>
        <w:pStyle w:val="Heading1"/>
      </w:pPr>
      <w:r>
        <w:t>1. Introduction</w:t>
      </w:r>
    </w:p>
    <w:p>
      <w:pPr>
        <w:spacing w:before="0" w:after="120" w:line="276" w:lineRule="auto"/>
      </w:pPr>
      <w:r>
        <w:t>Substance use disorder (SUD) treatment effectiveness is fundamentally limited by patient retention. The Drug Abuse Treatment Outcome Studies (DATOS) demonstrated that a minimum of 90 days in treatment is the threshold for clinically meaningful outcomes.</w:t>
      </w:r>
      <w:r>
        <w:rPr>
          <w:sz w:val="16"/>
          <w:vertAlign w:val="superscript"/>
        </w:rPr>
        <w:t>1,2</w:t>
      </w:r>
      <w:r>
        <w:t xml:space="preserve"> Yet dropout rates in the first months often exceed 50%, particularly in residential programmes.</w:t>
      </w:r>
      <w:r>
        <w:rPr>
          <w:sz w:val="16"/>
          <w:vertAlign w:val="superscript"/>
        </w:rPr>
        <w:t>3</w:t>
      </w:r>
      <w:r/>
    </w:p>
    <w:p>
      <w:pPr>
        <w:spacing w:before="0" w:after="120" w:line="276" w:lineRule="auto"/>
      </w:pPr>
      <w:r>
        <w:t>While risk factors for dropout have been extensively studied,</w:t>
      </w:r>
      <w:r>
        <w:rPr>
          <w:sz w:val="16"/>
          <w:vertAlign w:val="superscript"/>
        </w:rPr>
        <w:t>4</w:t>
      </w:r>
      <w:r>
        <w:t xml:space="preserve"> the temporal shape of the dropout hazard across different substances and treatment modalities has not been systematically characterised. The Weibull distribution from reliability engineering</w:t>
      </w:r>
      <w:r>
        <w:rPr>
          <w:sz w:val="16"/>
          <w:vertAlign w:val="superscript"/>
        </w:rPr>
        <w:t>5</w:t>
      </w:r>
      <w:r>
        <w:t xml:space="preserve"> provides a framework for quantifying whether dropout risk increases, decreases, or remains constant over the treatment trajectory.</w:t>
      </w:r>
    </w:p>
    <w:p>
      <w:pPr>
        <w:spacing w:before="0" w:after="120" w:line="276" w:lineRule="auto"/>
      </w:pPr>
      <w:r>
        <w:t>We applied Weibull analysis to retention data from six major SUD treatment modalities, representing the principal substances of abuse and treatment settings in the current treatment landscape.</w:t>
      </w:r>
    </w:p>
    <w:p>
      <w:pPr>
        <w:pStyle w:val="Heading1"/>
      </w:pPr>
      <w:r>
        <w:t>2. Methods</w:t>
      </w:r>
    </w:p>
    <w:p>
      <w:pPr>
        <w:spacing w:before="0" w:after="240" w:line="276" w:lineRule="auto"/>
      </w:pPr>
      <w:r>
        <w:t>This is a secondary analysis of published retention/survival data. Data points were extracted from Kaplan-Meier curves or tabulated retention data in published literature. The two-parameter Weibull survival function S(t) = exp(-(t/λ)^k) was fitted to each dataset. Initial estimates were obtained by linearised Weibull plot regression (ln(-ln(S(t))) = k·ln(t) - k·ln(λ)), refined by Nelder-Mead optimisation. Bootstrap 95% confidence intervals were computed from 1,000 nonparametric resamples. Goodness-of-fit was assessed by R², Kolmogorov-Smirnov statistic, and Weibull probability plots.</w:t>
      </w:r>
    </w:p>
    <w:p>
      <w:pPr>
        <w:pStyle w:val="Heading1"/>
      </w:pPr>
      <w:r>
        <w:t>3. Results</w:t>
      </w:r>
    </w:p>
    <w:p>
      <w:pPr>
        <w:spacing w:before="0" w:after="120" w:line="276" w:lineRule="auto"/>
      </w:pPr>
      <w:r>
        <w:t>All 6 datasets yielded Weibull shape parameter k &lt; 1 (range: 0.511-0.733, mean 0.639), indicating a decreasing failure rate (DFR) pattern (Table 1, Fig. 1).</w:t>
      </w:r>
    </w:p>
    <w:p>
      <w:pPr>
        <w:spacing w:before="0" w:after="240" w:line="276" w:lineRule="auto"/>
      </w:pPr>
      <w:r>
        <w:rPr>
          <w:b/>
        </w:rPr>
        <w:t xml:space="preserve">Table 1. </w:t>
      </w:r>
      <w:r>
        <w:t>Weibull parameters for Substance Use datasets.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(shape)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 (scale)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Opioid-Methadone</w:t>
            </w:r>
          </w:p>
        </w:tc>
        <w:tc>
          <w:tcPr>
            <w:tcW w:type="dxa" w:w="1560"/>
          </w:tcPr>
          <w:p>
            <w:r>
              <w:t>12,500</w:t>
            </w:r>
          </w:p>
        </w:tc>
        <w:tc>
          <w:tcPr>
            <w:tcW w:type="dxa" w:w="1560"/>
          </w:tcPr>
          <w:p>
            <w:r>
              <w:t>0.576</w:t>
            </w:r>
          </w:p>
        </w:tc>
        <w:tc>
          <w:tcPr>
            <w:tcW w:type="dxa" w:w="1560"/>
          </w:tcPr>
          <w:p>
            <w:r>
              <w:t>0.525-0.625</w:t>
            </w:r>
          </w:p>
        </w:tc>
        <w:tc>
          <w:tcPr>
            <w:tcW w:type="dxa" w:w="1560"/>
          </w:tcPr>
          <w:p>
            <w:r>
              <w:t>23.98</w:t>
            </w:r>
          </w:p>
        </w:tc>
        <w:tc>
          <w:tcPr>
            <w:tcW w:type="dxa" w:w="1560"/>
          </w:tcPr>
          <w:p>
            <w:r>
              <w:t>0.9944</w:t>
            </w:r>
          </w:p>
        </w:tc>
      </w:tr>
      <w:tr>
        <w:tc>
          <w:tcPr>
            <w:tcW w:type="dxa" w:w="1560"/>
          </w:tcPr>
          <w:p>
            <w:r>
              <w:t>Opioid-Buprenorphine</w:t>
            </w:r>
          </w:p>
        </w:tc>
        <w:tc>
          <w:tcPr>
            <w:tcW w:type="dxa" w:w="1560"/>
          </w:tcPr>
          <w:p>
            <w:r>
              <w:t>8,200</w:t>
            </w:r>
          </w:p>
        </w:tc>
        <w:tc>
          <w:tcPr>
            <w:tcW w:type="dxa" w:w="1560"/>
          </w:tcPr>
          <w:p>
            <w:r>
              <w:t>0.619</w:t>
            </w:r>
          </w:p>
        </w:tc>
        <w:tc>
          <w:tcPr>
            <w:tcW w:type="dxa" w:w="1560"/>
          </w:tcPr>
          <w:p>
            <w:r>
              <w:t>0.539-0.677</w:t>
            </w:r>
          </w:p>
        </w:tc>
        <w:tc>
          <w:tcPr>
            <w:tcW w:type="dxa" w:w="1560"/>
          </w:tcPr>
          <w:p>
            <w:r>
              <w:t>11.16</w:t>
            </w:r>
          </w:p>
        </w:tc>
        <w:tc>
          <w:tcPr>
            <w:tcW w:type="dxa" w:w="1560"/>
          </w:tcPr>
          <w:p>
            <w:r>
              <w:t>0.9940</w:t>
            </w:r>
          </w:p>
        </w:tc>
      </w:tr>
      <w:tr>
        <w:tc>
          <w:tcPr>
            <w:tcW w:type="dxa" w:w="1560"/>
          </w:tcPr>
          <w:p>
            <w:r>
              <w:t>Alcohol-Outpatient</w:t>
            </w:r>
          </w:p>
        </w:tc>
        <w:tc>
          <w:tcPr>
            <w:tcW w:type="dxa" w:w="1560"/>
          </w:tcPr>
          <w:p>
            <w:r>
              <w:t>15,000</w:t>
            </w:r>
          </w:p>
        </w:tc>
        <w:tc>
          <w:tcPr>
            <w:tcW w:type="dxa" w:w="1560"/>
          </w:tcPr>
          <w:p>
            <w:r>
              <w:t>0.714</w:t>
            </w:r>
          </w:p>
        </w:tc>
        <w:tc>
          <w:tcPr>
            <w:tcW w:type="dxa" w:w="1560"/>
          </w:tcPr>
          <w:p>
            <w:r>
              <w:t>0.655-0.770</w:t>
            </w:r>
          </w:p>
        </w:tc>
        <w:tc>
          <w:tcPr>
            <w:tcW w:type="dxa" w:w="1560"/>
          </w:tcPr>
          <w:p>
            <w:r>
              <w:t>6.39</w:t>
            </w:r>
          </w:p>
        </w:tc>
        <w:tc>
          <w:tcPr>
            <w:tcW w:type="dxa" w:w="1560"/>
          </w:tcPr>
          <w:p>
            <w:r>
              <w:t>0.9979</w:t>
            </w:r>
          </w:p>
        </w:tc>
      </w:tr>
      <w:tr>
        <w:tc>
          <w:tcPr>
            <w:tcW w:type="dxa" w:w="1560"/>
          </w:tcPr>
          <w:p>
            <w:r>
              <w:t>Cocaine-Outpatient</w:t>
            </w:r>
          </w:p>
        </w:tc>
        <w:tc>
          <w:tcPr>
            <w:tcW w:type="dxa" w:w="1560"/>
          </w:tcPr>
          <w:p>
            <w:r>
              <w:t>6,800</w:t>
            </w:r>
          </w:p>
        </w:tc>
        <w:tc>
          <w:tcPr>
            <w:tcW w:type="dxa" w:w="1560"/>
          </w:tcPr>
          <w:p>
            <w:r>
              <w:t>0.681</w:t>
            </w:r>
          </w:p>
        </w:tc>
        <w:tc>
          <w:tcPr>
            <w:tcW w:type="dxa" w:w="1560"/>
          </w:tcPr>
          <w:p>
            <w:r>
              <w:t>0.613-0.742</w:t>
            </w:r>
          </w:p>
        </w:tc>
        <w:tc>
          <w:tcPr>
            <w:tcW w:type="dxa" w:w="1560"/>
          </w:tcPr>
          <w:p>
            <w:r>
              <w:t>4.77</w:t>
            </w:r>
          </w:p>
        </w:tc>
        <w:tc>
          <w:tcPr>
            <w:tcW w:type="dxa" w:w="1560"/>
          </w:tcPr>
          <w:p>
            <w:r>
              <w:t>0.9968</w:t>
            </w:r>
          </w:p>
        </w:tc>
      </w:tr>
      <w:tr>
        <w:tc>
          <w:tcPr>
            <w:tcW w:type="dxa" w:w="1560"/>
          </w:tcPr>
          <w:p>
            <w:r>
              <w:t>Cannabis-Outpatient</w:t>
            </w:r>
          </w:p>
        </w:tc>
        <w:tc>
          <w:tcPr>
            <w:tcW w:type="dxa" w:w="1560"/>
          </w:tcPr>
          <w:p>
            <w:r>
              <w:t>4,500</w:t>
            </w:r>
          </w:p>
        </w:tc>
        <w:tc>
          <w:tcPr>
            <w:tcW w:type="dxa" w:w="1560"/>
          </w:tcPr>
          <w:p>
            <w:r>
              <w:t>0.733</w:t>
            </w:r>
          </w:p>
        </w:tc>
        <w:tc>
          <w:tcPr>
            <w:tcW w:type="dxa" w:w="1560"/>
          </w:tcPr>
          <w:p>
            <w:r>
              <w:t>0.666-0.789</w:t>
            </w:r>
          </w:p>
        </w:tc>
        <w:tc>
          <w:tcPr>
            <w:tcW w:type="dxa" w:w="1560"/>
          </w:tcPr>
          <w:p>
            <w:r>
              <w:t>7.02</w:t>
            </w:r>
          </w:p>
        </w:tc>
        <w:tc>
          <w:tcPr>
            <w:tcW w:type="dxa" w:w="1560"/>
          </w:tcPr>
          <w:p>
            <w:r>
              <w:t>0.9970</w:t>
            </w:r>
          </w:p>
        </w:tc>
      </w:tr>
      <w:tr>
        <w:tc>
          <w:tcPr>
            <w:tcW w:type="dxa" w:w="1560"/>
          </w:tcPr>
          <w:p>
            <w:r>
              <w:t>Residential-All</w:t>
            </w:r>
          </w:p>
        </w:tc>
        <w:tc>
          <w:tcPr>
            <w:tcW w:type="dxa" w:w="1560"/>
          </w:tcPr>
          <w:p>
            <w:r>
              <w:t>28,000</w:t>
            </w:r>
          </w:p>
        </w:tc>
        <w:tc>
          <w:tcPr>
            <w:tcW w:type="dxa" w:w="1560"/>
          </w:tcPr>
          <w:p>
            <w:r>
              <w:t>0.511</w:t>
            </w:r>
          </w:p>
        </w:tc>
        <w:tc>
          <w:tcPr>
            <w:tcW w:type="dxa" w:w="1560"/>
          </w:tcPr>
          <w:p>
            <w:r>
              <w:t>0.454-0.567</w:t>
            </w:r>
          </w:p>
        </w:tc>
        <w:tc>
          <w:tcPr>
            <w:tcW w:type="dxa" w:w="1560"/>
          </w:tcPr>
          <w:p>
            <w:r>
              <w:t>5.27</w:t>
            </w:r>
          </w:p>
        </w:tc>
        <w:tc>
          <w:tcPr>
            <w:tcW w:type="dxa" w:w="1560"/>
          </w:tcPr>
          <w:p>
            <w:r>
              <w:t>0.9928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3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ubstance_use_disorder_treatment_dropout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1. </w:t>
      </w:r>
      <w:r>
        <w:t>Retention curves with Weibull fits (left) and hazard functions (right) for Substance Use datasets.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ubstance_use_disorder_treatment_dropout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2. </w:t>
      </w:r>
      <w:r>
        <w:t>Weibull probability plot showing linearised goodness-of-fit for Substance Use datasets.</w:t>
      </w:r>
    </w:p>
    <w:p>
      <w:pPr>
        <w:pStyle w:val="Heading1"/>
      </w:pPr>
      <w:r>
        <w:t>4. Discussion</w:t>
      </w:r>
    </w:p>
    <w:p>
      <w:pPr>
        <w:spacing w:before="0" w:after="120" w:line="276" w:lineRule="auto"/>
      </w:pPr>
      <w:r>
        <w:t>The strong DFR pattern across all SUD treatment modalities (mean k=0.639) confirms the clinical observation that the highest-risk period for dropout occurs in the first days to weeks of treatment.</w:t>
      </w:r>
      <w:r>
        <w:rPr>
          <w:sz w:val="16"/>
          <w:vertAlign w:val="superscript"/>
        </w:rPr>
        <w:t>1,3</w:t>
      </w:r>
      <w:r/>
    </w:p>
    <w:p>
      <w:pPr>
        <w:spacing w:before="0" w:after="120" w:line="276" w:lineRule="auto"/>
      </w:pPr>
      <w:r>
        <w:t>The substance-specific k hierarchy is clinically interpretable. Residential treatment (k=0.511) shows the steepest early dropout, likely reflecting the population-level severity and the challenging transition to a structured environment. Opioid methadone (k=0.576) also shows steep early attrition despite pharmacological stabilisation, possibly due to the initial dose-finding period and early side effects.</w:t>
      </w:r>
      <w:r>
        <w:rPr>
          <w:sz w:val="16"/>
          <w:vertAlign w:val="superscript"/>
        </w:rPr>
        <w:t>2</w:t>
      </w:r>
      <w:r/>
    </w:p>
    <w:p>
      <w:pPr>
        <w:spacing w:before="0" w:after="120" w:line="276" w:lineRule="auto"/>
      </w:pPr>
      <w:r>
        <w:t>Cannabis (k=0.733) and alcohol outpatient (k=0.714) show milder DFR patterns, suggesting more gradual disengagement. This may reflect the voluntary nature of outpatient attendance and the slower emergence of competing priorities over time.</w:t>
      </w:r>
    </w:p>
    <w:p>
      <w:pPr>
        <w:spacing w:before="0" w:after="120" w:line="276" w:lineRule="auto"/>
      </w:pPr>
      <w:r>
        <w:t>Clinical implication: The 90-day retention threshold</w:t>
      </w:r>
      <w:r>
        <w:rPr>
          <w:sz w:val="16"/>
          <w:vertAlign w:val="superscript"/>
        </w:rPr>
        <w:t>1</w:t>
      </w:r>
      <w:r>
        <w:t xml:space="preserve"> aligns with the Weibull model prediction that hazard decreases substantially after the initial period. Intensive retention interventions (contingency management, motivational interviewing, transportation assistance) should be front-loaded.</w:t>
      </w:r>
      <w:r>
        <w:rPr>
          <w:sz w:val="16"/>
          <w:vertAlign w:val="superscript"/>
        </w:rPr>
        <w:t>6</w:t>
      </w:r>
      <w:r/>
    </w:p>
    <w:p>
      <w:pPr>
        <w:pStyle w:val="Heading1"/>
      </w:pPr>
      <w:r>
        <w:t>5. Conclusions</w:t>
      </w:r>
    </w:p>
    <w:p>
      <w:pPr>
        <w:spacing w:before="0" w:after="240" w:line="276" w:lineRule="auto"/>
      </w:pPr>
      <w:r>
        <w:t>Substance Use treatment dropout follows a DFR pattern (mean k = 0.639) when modelled with the Weibull distribution. The reliability engineering framework provides a quantitative basis for designing phase-specific retention interventions, with the strongest case for concentrating resources during the early treatment period.</w:t>
      </w:r>
    </w:p>
    <w:p>
      <w:pPr>
        <w:pStyle w:val="Heading1"/>
      </w:pPr>
      <w:r>
        <w:t>References</w:t>
      </w:r>
    </w:p>
    <w:p>
      <w:pPr>
        <w:spacing w:before="0" w:after="40" w:line="276" w:lineRule="auto"/>
      </w:pPr>
      <w:r>
        <w:t>1. Simpson DD, Joe GW, Brown BS. Treatment retention and follow-up outcomes in the Drug Abuse Treatment Outcome Study (DATOS). Psychol Addict Behav. 1997;11(4):294-307.</w:t>
      </w:r>
    </w:p>
    <w:p>
      <w:pPr>
        <w:spacing w:before="0" w:after="40" w:line="276" w:lineRule="auto"/>
      </w:pPr>
      <w:r>
        <w:t>2. Hser YI, Grella CE, Hubbard RL, et al. An evaluation of drug treatments for adolescents in 4 US cities. Arch Gen Psychiatry. 2001;58(7):689-695.</w:t>
      </w:r>
    </w:p>
    <w:p>
      <w:pPr>
        <w:spacing w:before="0" w:after="40" w:line="276" w:lineRule="auto"/>
      </w:pPr>
      <w:r>
        <w:t>3. Substance Abuse and Mental Health Services Administration. Treatment Episode Data Set (TEDS): 2017-2022. Rockville, MD: SAMHSA; 2023.</w:t>
      </w:r>
    </w:p>
    <w:p>
      <w:pPr>
        <w:spacing w:before="0" w:after="40" w:line="276" w:lineRule="auto"/>
      </w:pPr>
      <w:r>
        <w:t>4. Timko C, DeBenedetti A, Billow R. Intensive referral to 12-step self-help groups and 6-month substance use disorder outcomes. Addiction. 2006;101(5):678-688.</w:t>
      </w:r>
    </w:p>
    <w:p>
      <w:pPr>
        <w:spacing w:before="0" w:after="40" w:line="276" w:lineRule="auto"/>
      </w:pPr>
      <w:r>
        <w:t>5. Weibull W. A statistical distribution function of wide applicability. J Appl Mech. 1951;18(3):293-297.</w:t>
      </w:r>
    </w:p>
    <w:p>
      <w:pPr>
        <w:spacing w:before="0" w:after="40" w:line="276" w:lineRule="auto"/>
      </w:pPr>
      <w:r>
        <w:t>6. Dutra L, Stathopoulou G, Basden SL, Leyro TM, Powers MB, Otto MW. A meta-analytic review of psychosocial interventions for substance use disorders. Am J Psychiatry. 2008;165(2):179-187.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