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物質使用障害治療脱落のワイブル信頼性解析：</w:t>
        <w:br/>
        <w:t>6つの治療様式における物質別ハザードパターン</w:t>
      </w:r>
    </w:p>
    <w:p>
      <w:pPr>
        <w:spacing w:before="0" w:after="120" w:line="276" w:lineRule="auto"/>
        <w:jc w:val="center"/>
      </w:pPr>
      <w:r>
        <w:rPr>
          <w:sz w:val="22"/>
        </w:rPr>
        <w:t>大西 辰樹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責任著者: 大西 辰樹 (bougtoir@gmail.com)</w:t>
      </w:r>
    </w:p>
    <w:p>
      <w:pPr>
        <w:pStyle w:val="Heading1"/>
      </w:pPr>
      <w:r>
        <w:t>抄録</w:t>
      </w:r>
    </w:p>
    <w:p>
      <w:pPr>
        <w:spacing w:before="0" w:after="120" w:line="276" w:lineRule="auto"/>
      </w:pPr>
      <w:r>
        <w:t>背景: 治療脱落は物質使用障害(SUD)治療の有効性を制限する最大の要因であるが、脱落ハザードパターンは物質と治療様式により異なる。</w:t>
      </w:r>
    </w:p>
    <w:p>
      <w:pPr>
        <w:spacing w:before="0" w:after="120" w:line="276" w:lineRule="auto"/>
      </w:pPr>
      <w:r>
        <w:t>方法: 6つのSUD治療様式の維持データにワイブル分布を適合：オピオイド-メサドン(N=12,500)、オピオイド-ブプレノルフィン(N=8,200)、アルコール外来(N=15,000)、コカイン外来(N=6,800)、大麻外来(N=4,500)、入所型(N=28,000)。合計N=75,000。</w:t>
      </w:r>
    </w:p>
    <w:p>
      <w:pPr>
        <w:spacing w:before="0" w:after="120" w:line="276" w:lineRule="auto"/>
      </w:pPr>
      <w:r>
        <w:t>結果: 全6データセットでk &lt; 1（範囲: 0.511-0.733、平均0.639）。入所型が最も急峻な初期脱落(k=0.511)、大麻外来が最も緩やか(k=0.733)。</w:t>
      </w:r>
    </w:p>
    <w:p>
      <w:pPr>
        <w:spacing w:before="0" w:after="120" w:line="276" w:lineRule="auto"/>
      </w:pPr>
      <w:r>
        <w:t>結論: SUD治療は強いDFRパターンに従い、物質特異的な特徴を持つ。</w:t>
      </w:r>
    </w:p>
    <w:p>
      <w:pPr>
        <w:spacing w:before="0" w:after="360" w:line="276" w:lineRule="auto"/>
      </w:pPr>
      <w:r>
        <w:rPr>
          <w:b/>
        </w:rPr>
        <w:t xml:space="preserve">キーワード: </w:t>
      </w:r>
      <w:r>
        <w:t>ワイブル分布; 信頼性工学; 物質使用障害; 治療脱落; オピオイド; アルコール; コカイン; 大麻; ハザード関数</w:t>
      </w:r>
    </w:p>
    <w:p>
      <w:pPr>
        <w:pStyle w:val="Heading1"/>
      </w:pPr>
      <w:r>
        <w:t>1. 緒言・方法</w:t>
      </w:r>
    </w:p>
    <w:p>
      <w:pPr>
        <w:spacing w:before="0" w:after="120" w:line="276" w:lineRule="auto"/>
      </w:pPr>
      <w:r>
        <w:t>Substance Useにおける治療脱落の時間的ハザードパターンを、信頼性工学のワイブル分布を用いて特性化した。</w:t>
      </w:r>
    </w:p>
    <w:p>
      <w:pPr>
        <w:spacing w:before="0" w:after="240" w:line="276" w:lineRule="auto"/>
      </w:pPr>
      <w:r>
        <w:t>公表済みKaplan-Meier曲線からデータを再構成し、2パラメータワイブル分布 S(t)=exp(-(t/λ)^k) を適合。Bootstrap法（1,000回再抽出）で95%信頼区間を算出した。</w:t>
      </w:r>
    </w:p>
    <w:p>
      <w:pPr>
        <w:pStyle w:val="Heading1"/>
      </w:pPr>
      <w:r>
        <w:t>2. 結果</w:t>
      </w:r>
    </w:p>
    <w:p>
      <w:pPr>
        <w:spacing w:before="0" w:after="120" w:line="276" w:lineRule="auto"/>
      </w:pPr>
      <w:r>
        <w:t>全6データセットでk &lt; 1（範囲: 0.511-0.733、平均0.639）が得られ、DFRパターンが確認された（表1、図1）。</w:t>
      </w:r>
    </w:p>
    <w:p>
      <w:pPr>
        <w:spacing w:before="0" w:after="240" w:line="276" w:lineRule="auto"/>
      </w:pPr>
      <w:r>
        <w:rPr>
          <w:b/>
        </w:rPr>
        <w:t xml:space="preserve">表 1. </w:t>
      </w:r>
      <w:r>
        <w:t>Substance Useデータセットのワイブルパラメータ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データセット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k（形状）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k 95% CI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λ（尺度）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R²</w:t>
            </w:r>
          </w:p>
        </w:tc>
      </w:tr>
      <w:tr>
        <w:tc>
          <w:tcPr>
            <w:tcW w:type="dxa" w:w="1560"/>
          </w:tcPr>
          <w:p>
            <w:r>
              <w:t>Opioid-Methadone</w:t>
            </w:r>
          </w:p>
        </w:tc>
        <w:tc>
          <w:tcPr>
            <w:tcW w:type="dxa" w:w="1560"/>
          </w:tcPr>
          <w:p>
            <w:r>
              <w:t>12,500</w:t>
            </w:r>
          </w:p>
        </w:tc>
        <w:tc>
          <w:tcPr>
            <w:tcW w:type="dxa" w:w="1560"/>
          </w:tcPr>
          <w:p>
            <w:r>
              <w:t>0.576</w:t>
            </w:r>
          </w:p>
        </w:tc>
        <w:tc>
          <w:tcPr>
            <w:tcW w:type="dxa" w:w="1560"/>
          </w:tcPr>
          <w:p>
            <w:r>
              <w:t>0.525-0.625</w:t>
            </w:r>
          </w:p>
        </w:tc>
        <w:tc>
          <w:tcPr>
            <w:tcW w:type="dxa" w:w="1560"/>
          </w:tcPr>
          <w:p>
            <w:r>
              <w:t>23.98</w:t>
            </w:r>
          </w:p>
        </w:tc>
        <w:tc>
          <w:tcPr>
            <w:tcW w:type="dxa" w:w="1560"/>
          </w:tcPr>
          <w:p>
            <w:r>
              <w:t>0.9944</w:t>
            </w:r>
          </w:p>
        </w:tc>
      </w:tr>
      <w:tr>
        <w:tc>
          <w:tcPr>
            <w:tcW w:type="dxa" w:w="1560"/>
          </w:tcPr>
          <w:p>
            <w:r>
              <w:t>Opioid-Buprenorphine</w:t>
            </w:r>
          </w:p>
        </w:tc>
        <w:tc>
          <w:tcPr>
            <w:tcW w:type="dxa" w:w="1560"/>
          </w:tcPr>
          <w:p>
            <w:r>
              <w:t>8,200</w:t>
            </w:r>
          </w:p>
        </w:tc>
        <w:tc>
          <w:tcPr>
            <w:tcW w:type="dxa" w:w="1560"/>
          </w:tcPr>
          <w:p>
            <w:r>
              <w:t>0.619</w:t>
            </w:r>
          </w:p>
        </w:tc>
        <w:tc>
          <w:tcPr>
            <w:tcW w:type="dxa" w:w="1560"/>
          </w:tcPr>
          <w:p>
            <w:r>
              <w:t>0.539-0.677</w:t>
            </w:r>
          </w:p>
        </w:tc>
        <w:tc>
          <w:tcPr>
            <w:tcW w:type="dxa" w:w="1560"/>
          </w:tcPr>
          <w:p>
            <w:r>
              <w:t>11.16</w:t>
            </w:r>
          </w:p>
        </w:tc>
        <w:tc>
          <w:tcPr>
            <w:tcW w:type="dxa" w:w="1560"/>
          </w:tcPr>
          <w:p>
            <w:r>
              <w:t>0.9940</w:t>
            </w:r>
          </w:p>
        </w:tc>
      </w:tr>
      <w:tr>
        <w:tc>
          <w:tcPr>
            <w:tcW w:type="dxa" w:w="1560"/>
          </w:tcPr>
          <w:p>
            <w:r>
              <w:t>Alcohol-Outpatient</w:t>
            </w:r>
          </w:p>
        </w:tc>
        <w:tc>
          <w:tcPr>
            <w:tcW w:type="dxa" w:w="1560"/>
          </w:tcPr>
          <w:p>
            <w:r>
              <w:t>15,000</w:t>
            </w:r>
          </w:p>
        </w:tc>
        <w:tc>
          <w:tcPr>
            <w:tcW w:type="dxa" w:w="1560"/>
          </w:tcPr>
          <w:p>
            <w:r>
              <w:t>0.714</w:t>
            </w:r>
          </w:p>
        </w:tc>
        <w:tc>
          <w:tcPr>
            <w:tcW w:type="dxa" w:w="1560"/>
          </w:tcPr>
          <w:p>
            <w:r>
              <w:t>0.655-0.770</w:t>
            </w:r>
          </w:p>
        </w:tc>
        <w:tc>
          <w:tcPr>
            <w:tcW w:type="dxa" w:w="1560"/>
          </w:tcPr>
          <w:p>
            <w:r>
              <w:t>6.39</w:t>
            </w:r>
          </w:p>
        </w:tc>
        <w:tc>
          <w:tcPr>
            <w:tcW w:type="dxa" w:w="1560"/>
          </w:tcPr>
          <w:p>
            <w:r>
              <w:t>0.9979</w:t>
            </w:r>
          </w:p>
        </w:tc>
      </w:tr>
      <w:tr>
        <w:tc>
          <w:tcPr>
            <w:tcW w:type="dxa" w:w="1560"/>
          </w:tcPr>
          <w:p>
            <w:r>
              <w:t>Cocaine-Outpatient</w:t>
            </w:r>
          </w:p>
        </w:tc>
        <w:tc>
          <w:tcPr>
            <w:tcW w:type="dxa" w:w="1560"/>
          </w:tcPr>
          <w:p>
            <w:r>
              <w:t>6,800</w:t>
            </w:r>
          </w:p>
        </w:tc>
        <w:tc>
          <w:tcPr>
            <w:tcW w:type="dxa" w:w="1560"/>
          </w:tcPr>
          <w:p>
            <w:r>
              <w:t>0.681</w:t>
            </w:r>
          </w:p>
        </w:tc>
        <w:tc>
          <w:tcPr>
            <w:tcW w:type="dxa" w:w="1560"/>
          </w:tcPr>
          <w:p>
            <w:r>
              <w:t>0.613-0.742</w:t>
            </w:r>
          </w:p>
        </w:tc>
        <w:tc>
          <w:tcPr>
            <w:tcW w:type="dxa" w:w="1560"/>
          </w:tcPr>
          <w:p>
            <w:r>
              <w:t>4.77</w:t>
            </w:r>
          </w:p>
        </w:tc>
        <w:tc>
          <w:tcPr>
            <w:tcW w:type="dxa" w:w="1560"/>
          </w:tcPr>
          <w:p>
            <w:r>
              <w:t>0.9968</w:t>
            </w:r>
          </w:p>
        </w:tc>
      </w:tr>
      <w:tr>
        <w:tc>
          <w:tcPr>
            <w:tcW w:type="dxa" w:w="1560"/>
          </w:tcPr>
          <w:p>
            <w:r>
              <w:t>Cannabis-Outpatient</w:t>
            </w:r>
          </w:p>
        </w:tc>
        <w:tc>
          <w:tcPr>
            <w:tcW w:type="dxa" w:w="1560"/>
          </w:tcPr>
          <w:p>
            <w:r>
              <w:t>4,500</w:t>
            </w:r>
          </w:p>
        </w:tc>
        <w:tc>
          <w:tcPr>
            <w:tcW w:type="dxa" w:w="1560"/>
          </w:tcPr>
          <w:p>
            <w:r>
              <w:t>0.733</w:t>
            </w:r>
          </w:p>
        </w:tc>
        <w:tc>
          <w:tcPr>
            <w:tcW w:type="dxa" w:w="1560"/>
          </w:tcPr>
          <w:p>
            <w:r>
              <w:t>0.666-0.789</w:t>
            </w:r>
          </w:p>
        </w:tc>
        <w:tc>
          <w:tcPr>
            <w:tcW w:type="dxa" w:w="1560"/>
          </w:tcPr>
          <w:p>
            <w:r>
              <w:t>7.02</w:t>
            </w:r>
          </w:p>
        </w:tc>
        <w:tc>
          <w:tcPr>
            <w:tcW w:type="dxa" w:w="1560"/>
          </w:tcPr>
          <w:p>
            <w:r>
              <w:t>0.9970</w:t>
            </w:r>
          </w:p>
        </w:tc>
      </w:tr>
      <w:tr>
        <w:tc>
          <w:tcPr>
            <w:tcW w:type="dxa" w:w="1560"/>
          </w:tcPr>
          <w:p>
            <w:r>
              <w:t>Residential-All</w:t>
            </w:r>
          </w:p>
        </w:tc>
        <w:tc>
          <w:tcPr>
            <w:tcW w:type="dxa" w:w="1560"/>
          </w:tcPr>
          <w:p>
            <w:r>
              <w:t>28,000</w:t>
            </w:r>
          </w:p>
        </w:tc>
        <w:tc>
          <w:tcPr>
            <w:tcW w:type="dxa" w:w="1560"/>
          </w:tcPr>
          <w:p>
            <w:r>
              <w:t>0.511</w:t>
            </w:r>
          </w:p>
        </w:tc>
        <w:tc>
          <w:tcPr>
            <w:tcW w:type="dxa" w:w="1560"/>
          </w:tcPr>
          <w:p>
            <w:r>
              <w:t>0.454-0.567</w:t>
            </w:r>
          </w:p>
        </w:tc>
        <w:tc>
          <w:tcPr>
            <w:tcW w:type="dxa" w:w="1560"/>
          </w:tcPr>
          <w:p>
            <w:r>
              <w:t>5.27</w:t>
            </w:r>
          </w:p>
        </w:tc>
        <w:tc>
          <w:tcPr>
            <w:tcW w:type="dxa" w:w="1560"/>
          </w:tcPr>
          <w:p>
            <w:r>
              <w:t>0.9928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251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ubstance_use_disorder_treatment_dropout_surviv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図1. </w:t>
      </w:r>
      <w:r>
        <w:t>Substance Useの維持曲線とワイブル適合（左）およびハザード関数（右）</w:t>
      </w:r>
    </w:p>
    <w:p>
      <w:r>
        <w:drawing>
          <wp:inline xmlns:a="http://schemas.openxmlformats.org/drawingml/2006/main" xmlns:pic="http://schemas.openxmlformats.org/drawingml/2006/picture">
            <wp:extent cx="5029200" cy="3500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ubstance_use_disorder_treatment_dropout_prob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図2. </w:t>
      </w:r>
      <w:r>
        <w:t>Substance Useのワイブル確率プロット（適合度評価）</w:t>
      </w:r>
    </w:p>
    <w:p>
      <w:pPr>
        <w:pStyle w:val="Heading1"/>
      </w:pPr>
      <w:r>
        <w:t>3. 結論</w:t>
      </w:r>
    </w:p>
    <w:p>
      <w:pPr>
        <w:spacing w:before="0" w:after="240" w:line="276" w:lineRule="auto"/>
      </w:pPr>
      <w:r>
        <w:t>Substance Use治療脱落はDFRパターン（平均k=0.639）に従う。信頼性工学フレームワークはフェーズ特異的維持戦略設計の定量的基盤を提供する。</w:t>
      </w:r>
    </w:p>
    <w:p>
      <w:pPr>
        <w:pStyle w:val="Heading1"/>
      </w:pPr>
      <w:r>
        <w:t>参考文献</w:t>
      </w:r>
    </w:p>
    <w:p>
      <w:pPr>
        <w:spacing w:before="0" w:after="40" w:line="276" w:lineRule="auto"/>
      </w:pPr>
      <w:r>
        <w:t>1. Simpson DD, Joe GW, Brown BS. Treatment retention and follow-up outcomes in the Drug Abuse Treatment Outcome Study (DATOS). Psychol Addict Behav. 1997;11(4):294-307.</w:t>
      </w:r>
    </w:p>
    <w:p>
      <w:pPr>
        <w:spacing w:before="0" w:after="40" w:line="276" w:lineRule="auto"/>
      </w:pPr>
      <w:r>
        <w:t>2. Hser YI, Grella CE, Hubbard RL, et al. An evaluation of drug treatments for adolescents in 4 US cities. Arch Gen Psychiatry. 2001;58(7):689-695.</w:t>
      </w:r>
    </w:p>
    <w:p>
      <w:pPr>
        <w:spacing w:before="0" w:after="40" w:line="276" w:lineRule="auto"/>
      </w:pPr>
      <w:r>
        <w:t>3. Substance Abuse and Mental Health Services Administration. Treatment Episode Data Set (TEDS): 2017-2022. Rockville, MD: SAMHSA; 2023.</w:t>
      </w:r>
    </w:p>
    <w:p>
      <w:pPr>
        <w:spacing w:before="0" w:after="40" w:line="276" w:lineRule="auto"/>
      </w:pPr>
      <w:r>
        <w:t>4. Timko C, DeBenedetti A, Billow R. Intensive referral to 12-step self-help groups and 6-month substance use disorder outcomes. Addiction. 2006;101(5):678-688.</w:t>
      </w:r>
    </w:p>
    <w:p>
      <w:pPr>
        <w:spacing w:before="0" w:after="40" w:line="276" w:lineRule="auto"/>
      </w:pPr>
      <w:r>
        <w:t>5. Weibull W. A statistical distribution function of wide applicability. J Appl Mech. 1951;18(3):293-297.</w:t>
      </w:r>
    </w:p>
    <w:p>
      <w:pPr>
        <w:spacing w:before="0" w:after="40" w:line="276" w:lineRule="auto"/>
      </w:pPr>
      <w:r>
        <w:t>6. Dutra L, Stathopoulou G, Basden SL, Leyro TM, Powers MB, Otto MW. A meta-analytic review of psychosocial interventions for substance use disorders. Am J Psychiatry. 2008;165(2):179-187.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