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val="0"/>
          <w:i w:val="0"/>
          <w:sz w:val="22"/>
        </w:rPr>
        <w:t>[日付]</w:t>
      </w:r>
    </w:p>
    <w:p>
      <w:pPr>
        <w:spacing w:after="40"/>
      </w:pPr>
      <w:r>
        <w:rPr>
          <w:rFonts w:ascii="Arial" w:hAnsi="Arial"/>
          <w:b w:val="0"/>
          <w:i w:val="0"/>
          <w:sz w:val="22"/>
        </w:rPr>
        <w:t>The Editor</w:t>
      </w:r>
    </w:p>
    <w:p>
      <w:pPr>
        <w:spacing w:after="40"/>
      </w:pPr>
      <w:r>
        <w:rPr>
          <w:rFonts w:ascii="Arial" w:hAnsi="Arial"/>
          <w:b w:val="0"/>
          <w:i w:val="0"/>
          <w:sz w:val="22"/>
        </w:rPr>
        <w:t>The BMJ</w:t>
      </w:r>
    </w:p>
    <w:p>
      <w:pPr>
        <w:spacing w:after="40"/>
      </w:pPr>
      <w:r>
        <w:rPr>
          <w:rFonts w:ascii="Arial" w:hAnsi="Arial"/>
          <w:b w:val="0"/>
          <w:i w:val="0"/>
          <w:sz w:val="22"/>
        </w:rPr>
        <w:t>BMA House, Tavistock Square</w:t>
      </w:r>
    </w:p>
    <w:p>
      <w:pPr>
        <w:spacing w:after="40"/>
      </w:pPr>
      <w:r>
        <w:rPr>
          <w:rFonts w:ascii="Arial" w:hAnsi="Arial"/>
          <w:b w:val="0"/>
          <w:i w:val="0"/>
          <w:sz w:val="22"/>
        </w:rPr>
        <w:t>London WC1H 9JR</w:t>
      </w:r>
    </w:p>
    <w:p>
      <w:pPr>
        <w:spacing w:after="240"/>
      </w:pPr>
      <w:r>
        <w:rPr>
          <w:rFonts w:ascii="Arial" w:hAnsi="Arial"/>
          <w:b w:val="0"/>
          <w:i w:val="0"/>
          <w:sz w:val="22"/>
        </w:rPr>
        <w:t>United Kingdom</w:t>
      </w:r>
    </w:p>
    <w:p>
      <w:pPr>
        <w:spacing w:after="240"/>
      </w:pPr>
      <w:r>
        <w:rPr>
          <w:rFonts w:ascii="Arial" w:hAnsi="Arial"/>
          <w:b w:val="0"/>
          <w:i w:val="0"/>
          <w:sz w:val="22"/>
        </w:rPr>
        <w:t>Dear Editor,</w:t>
      </w:r>
    </w:p>
    <w:p>
      <w:pPr>
        <w:spacing w:after="240"/>
      </w:pPr>
      <w:r>
        <w:rPr>
          <w:rFonts w:ascii="Arial" w:hAnsi="Arial"/>
          <w:b/>
          <w:i w:val="0"/>
          <w:sz w:val="22"/>
        </w:rPr>
        <w:t>件名：原著論文の投稿 — 「日本の335二次医療圏における麻酔診療の地域差：全国レセプトデータを用いた横断的分析」</w:t>
      </w:r>
    </w:p>
    <w:p>
      <w:pPr>
        <w:spacing w:after="120"/>
      </w:pPr>
      <w:r>
        <w:rPr>
          <w:rFonts w:ascii="Arial" w:hAnsi="Arial"/>
          <w:b w:val="0"/>
          <w:i w:val="0"/>
          <w:sz w:val="22"/>
        </w:rPr>
        <w:t>上記の論文をThe BMJへの原著論文として投稿いたします。本論文は他誌に掲載されておらず、他誌で査読中でもありません。全著者が投稿版を承認しています。</w:t>
      </w:r>
    </w:p>
    <w:p>
      <w:pPr>
        <w:spacing w:after="120"/>
      </w:pPr>
      <w:r>
        <w:rPr>
          <w:rFonts w:ascii="Arial" w:hAnsi="Arial"/>
          <w:b w:val="0"/>
          <w:i w:val="0"/>
          <w:sz w:val="22"/>
        </w:rPr>
        <w:t>日本の国民皆保険制度は、地理的条件によらず均質な医療アクセスを保障することを目的として設計されました。しかし、本研究で全335二次医療圏の公開SCR（標準化レセプト出現比）データを分析した結果、麻酔診療に顕著な地域差が認められました：変動係数は全身麻酔54.6%、硬膜外麻酔83.2%、GA+硬膜外併用法64.9%でした。</w:t>
      </w:r>
    </w:p>
    <w:p>
      <w:pPr>
        <w:spacing w:after="120"/>
      </w:pPr>
      <w:r>
        <w:rPr>
          <w:rFonts w:ascii="Arial" w:hAnsi="Arial"/>
          <w:b w:val="0"/>
          <w:i w:val="0"/>
          <w:sz w:val="22"/>
        </w:rPr>
        <w:t>日本の制度には、都道府県単位の保険審査（査定）という特徴的な仕組みがあり、観察された地域差が真の臨床的差異なのか行政的な人為的産物なのかという問いが生じます。本研究では3つの独立した感度分析—県内分散分解、コード間相関分析、査定インパクトの定量的推定—を用いてこの問いに取り組み、いずれの分析も査定による変動では観察された地域差のごく一部しか説明できないという結論に収束しました。最も強い決定因子は大学病院の近接性であり、単一の二値変数で全身麻酔量の全分散の38.5%を説明しました（Cohen’s d=1.78）。</w:t>
      </w:r>
    </w:p>
    <w:p>
      <w:pPr>
        <w:spacing w:after="120"/>
      </w:pPr>
      <w:r>
        <w:rPr>
          <w:rFonts w:ascii="Arial" w:hAnsi="Arial"/>
          <w:b w:val="0"/>
          <w:i w:val="0"/>
          <w:sz w:val="22"/>
        </w:rPr>
        <w:t>本論文がThe BMJの読者にとって特に有意義である理由は以下の3点です：</w:t>
      </w:r>
    </w:p>
    <w:p>
      <w:pPr>
        <w:spacing w:after="120"/>
      </w:pPr>
      <w:r>
        <w:rPr>
          <w:rFonts w:ascii="Arial" w:hAnsi="Arial"/>
          <w:b w:val="0"/>
          <w:i w:val="0"/>
          <w:sz w:val="22"/>
        </w:rPr>
        <w:t>1. 診療行為の地域差における行政的要因と臨床的要因を区別する新規の感度分析フレームワークを提示しており、麻酔科領域や日本に限らず方法論的に応用可能である。</w:t>
      </w:r>
    </w:p>
    <w:p>
      <w:pPr>
        <w:spacing w:after="120"/>
      </w:pPr>
      <w:r>
        <w:rPr>
          <w:rFonts w:ascii="Arial" w:hAnsi="Arial"/>
          <w:b w:val="0"/>
          <w:i w:val="0"/>
          <w:sz w:val="22"/>
        </w:rPr>
        <w:t>2. 腫瘍学的利益が示唆されるGA+硬膜外併用法が、大学病院圏と非大学病院圏で1.73倍の差を示し、皆保険制度内における修正可能な健康格差の源泉を同定した。</w:t>
      </w:r>
    </w:p>
    <w:p>
      <w:pPr>
        <w:spacing w:after="120"/>
      </w:pPr>
      <w:r>
        <w:rPr>
          <w:rFonts w:ascii="Arial" w:hAnsi="Arial"/>
          <w:b w:val="0"/>
          <w:i w:val="0"/>
          <w:sz w:val="22"/>
        </w:rPr>
        <w:t>3. 日本固有の制度的構造（統一的診療報酬点数表と都道府県審査委員会）を自然実験として活用しており、レセプトデータにおける真の診療変動と行政的ノイズの区別に取り組む世界各国の医療制度にとって示唆を提供する。</w:t>
      </w:r>
    </w:p>
    <w:p>
      <w:pPr>
        <w:spacing w:after="120"/>
      </w:pPr>
      <w:r>
        <w:rPr>
          <w:rFonts w:ascii="Arial" w:hAnsi="Arial"/>
          <w:b w:val="0"/>
          <w:i w:val="0"/>
          <w:sz w:val="22"/>
        </w:rPr>
        <w:t>本論文はSTROBE報告ガイドライン（横断研究）に準拠しています。使用した全データは公開データであり、個人レベルの患者情報は含まれていません。「人を対象とする生命科学・医学系研究に関する倫理指針」（2021年改正）に基づき、倫理委員会の承認は不要と判断しました。</w:t>
      </w:r>
    </w:p>
    <w:p>
      <w:pPr>
        <w:spacing w:after="120"/>
      </w:pPr>
      <w:r>
        <w:rPr>
          <w:rFonts w:ascii="Arial" w:hAnsi="Arial"/>
          <w:b w:val="0"/>
          <w:i w:val="0"/>
          <w:sz w:val="22"/>
        </w:rPr>
        <w:t>全著者がICMJE基準による著者資格を満たしており、申告すべき利益相反はありません。本文は約4,000語、表2つ、図9枚（2次元コロプレスマップ6枚、3次元押出マップ3枚）で構成されています。</w:t>
      </w:r>
    </w:p>
    <w:p>
      <w:pPr>
        <w:spacing w:after="120"/>
      </w:pPr>
      <w:r>
        <w:rPr>
          <w:rFonts w:ascii="Arial" w:hAnsi="Arial"/>
          <w:b w:val="0"/>
          <w:i w:val="0"/>
          <w:sz w:val="22"/>
        </w:rPr>
        <w:t>本論文が他誌に掲載済みでなく、他誌で査読中でないことを確認いたします。全著者が最終版を読み、承認しています。</w:t>
      </w:r>
    </w:p>
    <w:p>
      <w:pPr>
        <w:spacing w:after="360"/>
      </w:pPr>
      <w:r>
        <w:rPr>
          <w:rFonts w:ascii="Arial" w:hAnsi="Arial"/>
          <w:b w:val="0"/>
          <w:i w:val="0"/>
          <w:sz w:val="22"/>
        </w:rPr>
        <w:t>ご査読のほど、何卒よろしくお願い申し上げます。</w:t>
      </w:r>
    </w:p>
    <w:p>
      <w:pPr>
        <w:spacing w:after="360"/>
      </w:pPr>
      <w:r>
        <w:rPr>
          <w:rFonts w:ascii="Arial" w:hAnsi="Arial"/>
          <w:b w:val="0"/>
          <w:i w:val="0"/>
          <w:sz w:val="22"/>
        </w:rPr>
        <w:t>敬具</w:t>
      </w:r>
    </w:p>
    <w:p>
      <w:pPr>
        <w:spacing w:after="40"/>
      </w:pPr>
      <w:r>
        <w:rPr>
          <w:rFonts w:ascii="Arial" w:hAnsi="Arial"/>
          <w:b w:val="0"/>
          <w:i w:val="0"/>
          <w:sz w:val="22"/>
        </w:rPr>
        <w:t>[責任著者氏名]</w:t>
      </w:r>
    </w:p>
    <w:p>
      <w:pPr>
        <w:spacing w:after="40"/>
      </w:pPr>
      <w:r>
        <w:rPr>
          <w:rFonts w:ascii="Arial" w:hAnsi="Arial"/>
          <w:b w:val="0"/>
          <w:i w:val="0"/>
          <w:sz w:val="22"/>
        </w:rPr>
        <w:t>[役職、診療科/部門]</w:t>
      </w:r>
    </w:p>
    <w:p>
      <w:pPr>
        <w:spacing w:after="40"/>
      </w:pPr>
      <w:r>
        <w:rPr>
          <w:rFonts w:ascii="Arial" w:hAnsi="Arial"/>
          <w:b w:val="0"/>
          <w:i w:val="0"/>
          <w:sz w:val="22"/>
        </w:rPr>
        <w:t>[所属機関]</w:t>
      </w:r>
    </w:p>
    <w:p>
      <w:pPr>
        <w:spacing w:after="40"/>
      </w:pPr>
      <w:r>
        <w:rPr>
          <w:rFonts w:ascii="Arial" w:hAnsi="Arial"/>
          <w:b w:val="0"/>
          <w:i w:val="0"/>
          <w:sz w:val="22"/>
        </w:rPr>
        <w:t>[住所]</w:t>
      </w:r>
    </w:p>
    <w:p>
      <w:pPr>
        <w:spacing w:after="40"/>
      </w:pPr>
      <w:r>
        <w:rPr>
          <w:rFonts w:ascii="Arial" w:hAnsi="Arial"/>
          <w:b w:val="0"/>
          <w:i w:val="0"/>
          <w:sz w:val="22"/>
        </w:rPr>
        <w:t>[メールアドレス]</w:t>
      </w:r>
    </w:p>
    <w:p>
      <w:pPr>
        <w:spacing w:after="40"/>
      </w:pPr>
      <w:r>
        <w:rPr>
          <w:rFonts w:ascii="Arial" w:hAnsi="Arial"/>
          <w:b w:val="0"/>
          <w:i w:val="0"/>
          <w:sz w:val="22"/>
        </w:rPr>
        <w:t>[電話番号]</w:t>
      </w:r>
    </w:p>
    <w:p>
      <w:pPr>
        <w:spacing w:after="40"/>
      </w:pPr>
      <w:r>
        <w:rPr>
          <w:rFonts w:ascii="Arial" w:hAnsi="Arial"/>
          <w:b w:val="0"/>
          <w:i/>
          <w:sz w:val="22"/>
        </w:rPr>
        <w:t>共著者全員を代表して</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