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April 23, 2026</w:t>
      </w:r>
    </w:p>
    <w:p/>
    <w:p>
      <w:r>
        <w:t>The Editor</w:t>
      </w:r>
    </w:p>
    <w:p>
      <w:r>
        <w:t>BMJ Open</w:t>
      </w:r>
    </w:p>
    <w:p/>
    <w:p>
      <w:r>
        <w:t>Dear Editor,</w:t>
      </w:r>
    </w:p>
    <w:p/>
    <w:p>
      <w:r>
        <w:rPr>
          <w:b/>
        </w:rPr>
        <w:t xml:space="preserve">Re: </w:t>
      </w:r>
      <w:r>
        <w:t xml:space="preserve">Submission of original research article — </w:t>
      </w:r>
      <w:r>
        <w:rPr>
          <w:i/>
        </w:rPr>
        <w:t>"Regional variation in anaesthesia practice in Japan: clinical preference or claims audit artefact? A cross-sectional ecological study of 335 secondary medical areas"</w:t>
      </w:r>
    </w:p>
    <w:p/>
    <w:p>
      <w:r>
        <w:t>We are pleased to submit the above manuscript for consideration for publication in BMJ Open. This study examines geographic variation in anaesthesia practice across Japan's 335 secondary medical areas (SMAs) using national claims data, and investigates whether observed variation reflects true differences in clinical practice or artefacts of regional variation in claims audit stringency.</w:t>
      </w:r>
    </w:p>
    <w:p>
      <w:r>
        <w:t>An earlier version of this work was submitted to BMJ (manuscript ID: BMJ-2026-090550) and subsequently transferred to Regional Anesthesia &amp; Pain Medicine (RAPM), where it was reviewed but not accepted. We have substantially revised the manuscript in response to the constructive reviewer feedback received at RAPM, incorporating the following major improvements:</w:t>
      </w:r>
    </w:p>
    <w:p>
      <w:pPr>
        <w:pStyle w:val="ListBullet"/>
      </w:pPr>
      <w:r>
        <w:rPr>
          <w:b/>
        </w:rPr>
        <w:t xml:space="preserve">Multilevel modelling: </w:t>
      </w:r>
      <w:r>
        <w:t>We implemented hierarchical linear mixed models (SMAs nested within 47 prefectures) with intraclass correlation coefficients (ICCs) to quantify the proportion of variance attributable to prefecture-level versus SMA-level factors. This directly addresses the clustered data structure.</w:t>
      </w:r>
    </w:p>
    <w:p>
      <w:pPr>
        <w:pStyle w:val="ListBullet"/>
      </w:pPr>
      <w:r>
        <w:rPr>
          <w:b/>
        </w:rPr>
        <w:t xml:space="preserve">Small-sample sensitivity analysis: </w:t>
      </w:r>
      <w:r>
        <w:t>We applied empirical Bayes shrinkage estimation to address potential instability in SCR estimates for SMAs with small claim volumes. The university hospital effect was attenuated by only 8.6–9.1%, confirming robustness.</w:t>
      </w:r>
    </w:p>
    <w:p>
      <w:pPr>
        <w:pStyle w:val="ListBullet"/>
      </w:pPr>
      <w:r>
        <w:rPr>
          <w:b/>
        </w:rPr>
        <w:t xml:space="preserve">Healthcare system context: </w:t>
      </w:r>
      <w:r>
        <w:t>We added a comprehensive explanation of Japan's universal health coverage system and medical area structure for international readers, supported by WHO Healthcare Access and Quality Index data (Japan: 87.5/100, top decile globally) and national patient movement statistics.</w:t>
      </w:r>
    </w:p>
    <w:p>
      <w:pPr>
        <w:pStyle w:val="ListBullet"/>
      </w:pPr>
      <w:r>
        <w:rPr>
          <w:b/>
        </w:rPr>
        <w:t xml:space="preserve">Residence-based SCR clarification: </w:t>
      </w:r>
      <w:r>
        <w:t>We explicitly clarified that Standardised Claim-occurrence Ratios are calculated on a residence basis (attributed to patients' registered addresses, not provider locations), which mitigates concerns about patient movement bias.</w:t>
      </w:r>
    </w:p>
    <w:p>
      <w:pPr>
        <w:pStyle w:val="ListBullet"/>
      </w:pPr>
      <w:r>
        <w:rPr>
          <w:b/>
        </w:rPr>
        <w:t xml:space="preserve">Methods restructuring: </w:t>
      </w:r>
      <w:r>
        <w:t>The Methods section has been rewritten from bullet-point format into flowing paragraph style with clearly defined subsections, following STROBE guidelines for cross-sectional ecological studies.</w:t>
      </w:r>
    </w:p>
    <w:p>
      <w:pPr>
        <w:pStyle w:val="ListBullet"/>
      </w:pPr>
      <w:r>
        <w:rPr>
          <w:b/>
        </w:rPr>
        <w:t xml:space="preserve">Data corrections: </w:t>
      </w:r>
      <w:r>
        <w:t>We corrected two university hospital geographic mappings (Asahikawa Medical University and Hirosaki University) and re-ran all analyses with verified data.</w:t>
      </w:r>
    </w:p>
    <w:p/>
    <w:p>
      <w:r>
        <w:t>Key findings include: (1) substantial geographic variation in general anaesthesia claims (L008 SCR range: 11.2–463.6; coefficient of variation 43.7%); (2) a strong inverse correlation between general anaesthesia (L008) and spinal anaesthesia (L004) SCRs (Spearman ρ = −0.50, p &lt; 0.001), suggesting claims audit–driven reclassification rather than true clinical difference; (3) university hospital presence explains 40.5% of within-prefecture variance in general anaesthesia SCR (Cohen's d = 1.88, p &lt; 0.001); and (4) when combining L008 and L004 SCRs to neutralise audit substitution effects, the coefficient of variation decreases from 43.7% to 26.1%, indicating that a substantial proportion of apparent variation is an audit artefact.</w:t>
      </w:r>
    </w:p>
    <w:p>
      <w:r>
        <w:t>We believe this study is well suited to BMJ Open's scope and readership for several reasons. First, it addresses a health policy question — whether administrative claims data accurately reflect clinical reality — that has direct implications for evidence-based healthcare planning in any system using claims-based metrics. Second, it provides a methodological framework (sensitivity analyses combining related procedure codes to detect audit effects) that is transferable to other countries and clinical domains. Third, it offers an accessible introduction to Japan's healthcare system structure, contributing to the global literature on healthcare variation research.</w:t>
      </w:r>
    </w:p>
    <w:p>
      <w:r>
        <w:t>The manuscript contains approximately 4,500 words, 3 tables, and 4 multi-panel figures (9 individual maps consolidated into composite panels). All authors have approved the manuscript and agree with its submission to BMJ Open. The study used publicly available aggregate data and did not require ethical approval. The manuscript is not under consideration elsewhere.</w:t>
      </w:r>
    </w:p>
    <w:p>
      <w:r>
        <w:t>We confirm that this work is original, has not been published previously (except as noted above regarding the earlier BMJ/RAPM submissions), and is not being considered for publication elsewhere. All authors have read and approved the final manuscript. There are no conflicts of interest to declare.</w:t>
      </w:r>
    </w:p>
    <w:p>
      <w:r>
        <w:t>Thank you for considering our submission. We look forward to your decision.</w:t>
      </w:r>
    </w:p>
    <w:p/>
    <w:p>
      <w:r>
        <w:t>Yours sincerely,</w:t>
      </w:r>
    </w:p>
    <w:p/>
    <w:p>
      <w:r>
        <w:t>[Corresponding Author Name]</w:t>
      </w:r>
    </w:p>
    <w:p>
      <w:r>
        <w:t>[Affiliation]</w:t>
      </w:r>
    </w:p>
    <w:p>
      <w:r>
        <w:t>[Email]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