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val="0"/>
          <w:i w:val="0"/>
          <w:sz w:val="22"/>
        </w:rPr>
        <w:t>[Date]</w:t>
      </w:r>
    </w:p>
    <w:p>
      <w:pPr>
        <w:spacing w:after="40"/>
      </w:pPr>
      <w:r>
        <w:rPr>
          <w:rFonts w:ascii="Arial" w:hAnsi="Arial"/>
          <w:b w:val="0"/>
          <w:i w:val="0"/>
          <w:sz w:val="22"/>
        </w:rPr>
        <w:t>Professor Hugh Hemmings</w:t>
      </w:r>
    </w:p>
    <w:p>
      <w:pPr>
        <w:spacing w:after="40"/>
      </w:pPr>
      <w:r>
        <w:rPr>
          <w:rFonts w:ascii="Arial" w:hAnsi="Arial"/>
          <w:b w:val="0"/>
          <w:i w:val="0"/>
          <w:sz w:val="22"/>
        </w:rPr>
        <w:t>Editor-in-Chief</w:t>
      </w:r>
    </w:p>
    <w:p>
      <w:pPr>
        <w:spacing w:after="40"/>
      </w:pPr>
      <w:r>
        <w:rPr>
          <w:rFonts w:ascii="Arial" w:hAnsi="Arial"/>
          <w:b w:val="0"/>
          <w:i w:val="0"/>
          <w:sz w:val="22"/>
        </w:rPr>
        <w:t>British Journal of Anaesthesia</w:t>
      </w:r>
    </w:p>
    <w:p>
      <w:pPr>
        <w:spacing w:after="40"/>
      </w:pPr>
      <w:r>
        <w:rPr>
          <w:rFonts w:ascii="Arial" w:hAnsi="Arial"/>
          <w:b w:val="0"/>
          <w:i w:val="0"/>
          <w:sz w:val="22"/>
        </w:rPr>
        <w:t>Weill Cornell Medical College</w:t>
      </w:r>
    </w:p>
    <w:p>
      <w:pPr>
        <w:spacing w:after="40"/>
      </w:pPr>
      <w:r>
        <w:rPr>
          <w:rFonts w:ascii="Arial" w:hAnsi="Arial"/>
          <w:b w:val="0"/>
          <w:i w:val="0"/>
          <w:sz w:val="22"/>
        </w:rPr>
        <w:t>New York, NY, USA</w:t>
      </w:r>
    </w:p>
    <w:p>
      <w:pPr>
        <w:spacing w:after="240"/>
      </w:pPr>
      <w:r>
        <w:rPr>
          <w:rFonts w:ascii="Arial" w:hAnsi="Arial"/>
          <w:b w:val="0"/>
          <w:i w:val="0"/>
          <w:sz w:val="22"/>
        </w:rPr>
        <w:t>Email: bja@med.cornell.edu</w:t>
      </w:r>
    </w:p>
    <w:p>
      <w:pPr>
        <w:spacing w:after="240"/>
      </w:pPr>
      <w:r>
        <w:rPr>
          <w:rFonts w:ascii="Arial" w:hAnsi="Arial"/>
          <w:b w:val="0"/>
          <w:i w:val="0"/>
          <w:sz w:val="22"/>
        </w:rPr>
        <w:t>Dear Professor Hemmings,</w:t>
      </w:r>
    </w:p>
    <w:p>
      <w:pPr>
        <w:spacing w:after="240"/>
      </w:pPr>
      <w:r>
        <w:rPr>
          <w:rFonts w:ascii="Arial" w:hAnsi="Arial"/>
          <w:b/>
          <w:i w:val="0"/>
          <w:sz w:val="22"/>
        </w:rPr>
        <w:t>Re: Submission of clinical investigation — "Regional variation in anaesthesia practice across 335 secondary medical areas in Japan: a cross-sectional analysis of national claims data"</w:t>
      </w:r>
    </w:p>
    <w:p>
      <w:pPr>
        <w:spacing w:after="120"/>
      </w:pPr>
      <w:r>
        <w:rPr>
          <w:rFonts w:ascii="Arial" w:hAnsi="Arial"/>
          <w:b w:val="0"/>
          <w:i w:val="0"/>
          <w:sz w:val="22"/>
        </w:rPr>
        <w:t>We submit the above manuscript for consideration as a clinical investigation in the British Journal of Anaesthesia. This work has not been published previously, is not under consideration elsewhere, and all authors have approved the submitted version.</w:t>
      </w:r>
    </w:p>
    <w:p>
      <w:pPr>
        <w:spacing w:after="120"/>
      </w:pPr>
      <w:r>
        <w:rPr>
          <w:rFonts w:ascii="Arial" w:hAnsi="Arial"/>
          <w:b w:val="0"/>
          <w:i w:val="0"/>
          <w:sz w:val="22"/>
        </w:rPr>
        <w:t>Using publicly available standardised claim ratio (SCR) data covering the entire Japanese population, we quantify regional variation in anaesthesia practice across all 335 secondary medical areas. We report coefficients of variation of 54.6% for general anaesthesia, 83.2% for epidural anaesthesia, and 64.9% for the combined general–epidural technique—variation that is substantially greater than previously recognised in any national healthcare system.</w:t>
      </w:r>
    </w:p>
    <w:p>
      <w:pPr>
        <w:spacing w:after="120"/>
      </w:pPr>
      <w:r>
        <w:rPr>
          <w:rFonts w:ascii="Arial" w:hAnsi="Arial"/>
          <w:b w:val="0"/>
          <w:i w:val="0"/>
          <w:sz w:val="22"/>
        </w:rPr>
        <w:t>A unique feature of this study is the exploitation of Japan’s institutional structure—a uniform national fee schedule combined with prefectural insurance audit committees—to address a question that is fundamental to all claims-based practice variation research: does observed variation reflect genuine differences in clinical practice, or is it an artefact of differential administrative auditing? Three independent sensitivity analyses (within-prefecture variance decomposition, cross-code correlation, and quantitative audit impact estimation) converge on the conclusion that audit variation explains less than 1% of observed differences.</w:t>
      </w:r>
    </w:p>
    <w:p>
      <w:pPr>
        <w:spacing w:after="120"/>
      </w:pPr>
      <w:r>
        <w:rPr>
          <w:rFonts w:ascii="Arial" w:hAnsi="Arial"/>
          <w:b w:val="0"/>
          <w:i w:val="0"/>
          <w:sz w:val="22"/>
        </w:rPr>
        <w:t>The dominant determinant is university hospital proximity. In Japan’s medical education system, university departments (ikyoku) exert substantial influence over clinical practice in affiliated hospitals. We show that university hospital presence explains 38.5% of all variance in general anaesthesia volume (Cohen’s d=1.78)—a remarkably large effect that is consistent across all 47 prefectures. The combined GA–epidural technique is 1.73 times more common in university hospital areas.</w:t>
      </w:r>
    </w:p>
    <w:p>
      <w:pPr>
        <w:spacing w:after="120"/>
      </w:pPr>
      <w:r>
        <w:rPr>
          <w:rFonts w:ascii="Arial" w:hAnsi="Arial"/>
          <w:b w:val="0"/>
          <w:i w:val="0"/>
          <w:sz w:val="22"/>
        </w:rPr>
        <w:t>We believe this study is of particular relevance to the BJA’s readership for three reasons:</w:t>
      </w:r>
    </w:p>
    <w:p>
      <w:pPr>
        <w:spacing w:after="120"/>
      </w:pPr>
      <w:r>
        <w:rPr>
          <w:rFonts w:ascii="Arial" w:hAnsi="Arial"/>
          <w:b w:val="0"/>
          <w:i w:val="0"/>
          <w:sz w:val="22"/>
        </w:rPr>
        <w:t>1. It documents the largest geographic variation in anaesthesia technique reported to date at a fine spatial scale (335 areas), with direct implications for anaesthesia workforce planning and training policy.</w:t>
      </w:r>
    </w:p>
    <w:p>
      <w:pPr>
        <w:spacing w:after="120"/>
      </w:pPr>
      <w:r>
        <w:rPr>
          <w:rFonts w:ascii="Arial" w:hAnsi="Arial"/>
          <w:b w:val="0"/>
          <w:i w:val="0"/>
          <w:sz w:val="22"/>
        </w:rPr>
        <w:t>2. Given the growing body of evidence suggesting oncological benefit from combined regional–general anaesthesia, the 1.73-fold variation in this technique represents a potentially modifiable source of outcome inequality that is directly relevant to perioperative medicine.</w:t>
      </w:r>
    </w:p>
    <w:p>
      <w:pPr>
        <w:spacing w:after="120"/>
      </w:pPr>
      <w:r>
        <w:rPr>
          <w:rFonts w:ascii="Arial" w:hAnsi="Arial"/>
          <w:b w:val="0"/>
          <w:i w:val="0"/>
          <w:sz w:val="22"/>
        </w:rPr>
        <w:t>3. The sensitivity analysis framework we develop—distinguishing administrative from clinical sources of variation using within-jurisdiction variance decomposition—is a methodological contribution applicable to anaesthesia practice variation research in any country with claims-based data.</w:t>
      </w:r>
    </w:p>
    <w:p>
      <w:pPr>
        <w:spacing w:after="120"/>
      </w:pPr>
      <w:r>
        <w:rPr>
          <w:rFonts w:ascii="Arial" w:hAnsi="Arial"/>
          <w:b w:val="0"/>
          <w:i w:val="0"/>
          <w:sz w:val="22"/>
        </w:rPr>
        <w:t>We note that the manuscript includes 2 tables and 9 figures, which exceeds the BJA’s guideline of 6 tables and figures combined for clinical investigations. We believe this is justified because the geographic nature of the analysis requires spatial visualisation: Figures 1–6 are two-dimensional choropleth maps of individual anaesthesia codes across 335 areas, and Figures 7–9 are three-dimensional extruded maps encoding two variables simultaneously (colour and height). We would be happy to move selected figures to supplementary material if the Editor prefers, or to consolidate figures into multi-panel composites.</w:t>
      </w:r>
    </w:p>
    <w:p>
      <w:pPr>
        <w:spacing w:after="120"/>
      </w:pPr>
      <w:r>
        <w:rPr>
          <w:rFonts w:ascii="Arial" w:hAnsi="Arial"/>
          <w:b w:val="0"/>
          <w:i w:val="0"/>
          <w:sz w:val="22"/>
        </w:rPr>
        <w:t>The study adheres to STROBE reporting guidelines for cross-sectional studies and uses RECORD (REporting of studies Conducted using Observational Routinely collected Data) extensions where applicable. All data used are publicly available aggregate statistics; no individual-level patient data were accessed. Ethics committee approval was not required under Japan’s Ethical Guidelines for Medical and Biological Research Involving Human Subjects (2021 revision).</w:t>
      </w:r>
    </w:p>
    <w:p>
      <w:pPr>
        <w:spacing w:after="120"/>
      </w:pPr>
      <w:r>
        <w:rPr>
          <w:rFonts w:ascii="Arial" w:hAnsi="Arial"/>
          <w:b w:val="0"/>
          <w:i w:val="0"/>
          <w:sz w:val="22"/>
        </w:rPr>
        <w:t>All authors meet the ICMJE criteria for authorship. We have no conflicts of interest to declare and no external funding to report for this study.</w:t>
      </w:r>
    </w:p>
    <w:p>
      <w:pPr>
        <w:spacing w:after="360"/>
      </w:pPr>
      <w:r>
        <w:rPr>
          <w:rFonts w:ascii="Arial" w:hAnsi="Arial"/>
          <w:b w:val="0"/>
          <w:i w:val="0"/>
          <w:sz w:val="22"/>
        </w:rPr>
        <w:t>Thank you for considering this submission. We look forward to your response.</w:t>
      </w:r>
    </w:p>
    <w:p>
      <w:pPr>
        <w:spacing w:after="360"/>
      </w:pPr>
      <w:r>
        <w:rPr>
          <w:rFonts w:ascii="Arial" w:hAnsi="Arial"/>
          <w:b w:val="0"/>
          <w:i w:val="0"/>
          <w:sz w:val="22"/>
        </w:rPr>
        <w:t>Yours sincerely,</w:t>
      </w:r>
    </w:p>
    <w:p>
      <w:pPr>
        <w:spacing w:after="40"/>
      </w:pPr>
      <w:r>
        <w:rPr>
          <w:rFonts w:ascii="Arial" w:hAnsi="Arial"/>
          <w:b w:val="0"/>
          <w:i w:val="0"/>
          <w:sz w:val="22"/>
        </w:rPr>
        <w:t>[Corresponding author name]</w:t>
      </w:r>
    </w:p>
    <w:p>
      <w:pPr>
        <w:spacing w:after="40"/>
      </w:pPr>
      <w:r>
        <w:rPr>
          <w:rFonts w:ascii="Arial" w:hAnsi="Arial"/>
          <w:b w:val="0"/>
          <w:i w:val="0"/>
          <w:sz w:val="22"/>
        </w:rPr>
        <w:t>[Title, Department]</w:t>
      </w:r>
    </w:p>
    <w:p>
      <w:pPr>
        <w:spacing w:after="40"/>
      </w:pPr>
      <w:r>
        <w:rPr>
          <w:rFonts w:ascii="Arial" w:hAnsi="Arial"/>
          <w:b w:val="0"/>
          <w:i w:val="0"/>
          <w:sz w:val="22"/>
        </w:rPr>
        <w:t>[Institution]</w:t>
      </w:r>
    </w:p>
    <w:p>
      <w:pPr>
        <w:spacing w:after="40"/>
      </w:pPr>
      <w:r>
        <w:rPr>
          <w:rFonts w:ascii="Arial" w:hAnsi="Arial"/>
          <w:b w:val="0"/>
          <w:i w:val="0"/>
          <w:sz w:val="22"/>
        </w:rPr>
        <w:t>[Address]</w:t>
      </w:r>
    </w:p>
    <w:p>
      <w:pPr>
        <w:spacing w:after="40"/>
      </w:pPr>
      <w:r>
        <w:rPr>
          <w:rFonts w:ascii="Arial" w:hAnsi="Arial"/>
          <w:b w:val="0"/>
          <w:i w:val="0"/>
          <w:sz w:val="22"/>
        </w:rPr>
        <w:t>[Email]</w:t>
      </w:r>
    </w:p>
    <w:p>
      <w:pPr>
        <w:spacing w:after="40"/>
      </w:pPr>
      <w:r>
        <w:rPr>
          <w:rFonts w:ascii="Arial" w:hAnsi="Arial"/>
          <w:b w:val="0"/>
          <w:i w:val="0"/>
          <w:sz w:val="22"/>
        </w:rPr>
        <w:t>[ORCID]</w:t>
      </w:r>
    </w:p>
    <w:p>
      <w:pPr>
        <w:spacing w:after="40"/>
      </w:pPr>
      <w:r>
        <w:rPr>
          <w:rFonts w:ascii="Arial" w:hAnsi="Arial"/>
          <w:b w:val="0"/>
          <w:i/>
          <w:sz w:val="22"/>
        </w:rPr>
        <w:t>On behalf of all co-authors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