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Regional variation in acute and neuropathic pain medication prescribing across Japan's 47 prefectures: a population-level ecological study</w:t>
      </w:r>
    </w:p>
    <w:p/>
    <w:p>
      <w:pPr>
        <w:jc w:val="center"/>
      </w:pPr>
      <w:r>
        <w:rPr>
          <w:sz w:val="24"/>
        </w:rPr>
        <w:t>Tatsuki Onishi, MD</w:t>
      </w:r>
    </w:p>
    <w:p/>
    <w:p>
      <w:pPr>
        <w:jc w:val="center"/>
      </w:pPr>
      <w:r>
        <w:t>Department of Anesthesiology, [Institution], [Address], [City], [Postal code], Japan</w:t>
      </w:r>
    </w:p>
    <w:p/>
    <w:p>
      <w:r>
        <w:rPr>
          <w:b/>
        </w:rPr>
        <w:t xml:space="preserve">Corresponding author: </w:t>
      </w:r>
      <w:r>
        <w:t>Tatsuki Onishi, MD, Department of Anesthesiology, [Institution], [Address], [City], [Postal code], Japan. E-mail: [email]</w:t>
      </w:r>
    </w:p>
    <w:p/>
    <w:p>
      <w:r>
        <w:rPr>
          <w:b/>
        </w:rPr>
        <w:t xml:space="preserve">Word count: </w:t>
      </w:r>
    </w:p>
    <w:p/>
    <w:p>
      <w:pPr>
        <w:pStyle w:val="Heading1"/>
      </w:pPr>
      <w:r>
        <w:rPr>
          <w:rFonts w:ascii="Times New Roman" w:hAnsi="Times New Roman"/>
          <w:color w:val="000000"/>
        </w:rPr>
        <w:t>Abstract</w:t>
      </w:r>
    </w:p>
    <w:p>
      <w:r>
        <w:rPr>
          <w:b/>
        </w:rPr>
        <w:t xml:space="preserve">Background: </w:t>
      </w:r>
      <w:r>
        <w:t>Clinicians frequently rely on cultural labels when estimating analgesic requirements, yet whether pain-related prescribing varies within Japan has not been examined at the population level.</w:t>
      </w:r>
    </w:p>
    <w:p>
      <w:r>
        <w:rPr>
          <w:b/>
        </w:rPr>
        <w:t xml:space="preserve">Methods: </w:t>
      </w:r>
      <w:r>
        <w:t>This ecological study used Japan’s National Database of Health Insurance Claims (NDB Open Data, 10th edition; population-complete, April 2023–March 2024) to map pain-related prescribing across all 47 prefectures. Phase 1 examined acute perioperative analgesic prescribing per surgery. Phase 2 examined outpatient neuropathic pain drug prescribing as a population-level proxy for chronic neuropathic pain-related prescribing, adjusted for comorbidity proxies using multiple regression. Standardised claim ratios (SCR) confirmed findings after age-sex standardisation.</w:t>
      </w:r>
    </w:p>
    <w:p>
      <w:r>
        <w:rPr>
          <w:b/>
        </w:rPr>
        <w:t xml:space="preserve">Results: </w:t>
      </w:r>
      <w:r>
        <w:t xml:space="preserve">Crude acute analgesic prescribing varied 1.97-fold across prefectures (Kruskal–Wallis </w:t>
      </w:r>
      <w:r>
        <m:oMath>
          <m:box>
            <m:e>
              <m:r>
                <m:rPr>
                  <m:sty m:val="i"/>
                </m:rPr>
                <m:t>P</m:t>
              </m:r>
              <m:r>
                <m:rPr>
                  <m:sty m:val="p"/>
                </m:rPr>
                <m:t>&lt;</m:t>
              </m:r>
              <m:r>
                <m:rPr>
                  <m:sty m:val="p"/>
                </m:rPr>
                <m:t>0.001</m:t>
              </m:r>
            </m:e>
          </m:box>
        </m:oMath>
      </w:r>
      <w:r>
        <w:t xml:space="preserve">). Tohoku had a higher unadjusted analgesic-per-surgery index than non-Tohoku prefectures (Cohen’s </w:t>
      </w:r>
      <w:r>
        <m:oMath>
          <m:box>
            <m:e>
              <m:r>
                <m:rPr>
                  <m:sty m:val="i"/>
                </m:rPr>
                <m:t>d</m:t>
              </m:r>
              <m:r>
                <m:rPr>
                  <m:sty m:val="p"/>
                </m:rPr>
                <m:t>=</m:t>
              </m:r>
              <m:r>
                <m:rPr>
                  <m:sty m:val="p"/>
                </m:rPr>
                <m:t>0.87</m:t>
              </m:r>
            </m:e>
          </m:box>
        </m:oMath>
      </w:r>
      <w:r>
        <w:t>); however, after age-sex standardisation the Tohoku inpatient analgesic standardised claim ratio (SCR) was lower than the non-Tohoku mean (97.0 vs 101.0). Unadjusted outpatient neuropathic pain prescribing also showed a large Tohoku excess (</w:t>
      </w:r>
      <w:r>
        <m:oMath>
          <m:box>
            <m:e>
              <m:r>
                <m:rPr>
                  <m:sty m:val="i"/>
                </m:rPr>
                <m:t>d</m:t>
              </m:r>
              <m:r>
                <m:rPr>
                  <m:sty m:val="p"/>
                </m:rPr>
                <m:t>=</m:t>
              </m:r>
              <m:r>
                <m:rPr>
                  <m:sty m:val="p"/>
                </m:rPr>
                <m:t>2.81</m:t>
              </m:r>
            </m:e>
          </m:box>
        </m:oMath>
      </w:r>
      <w:r>
        <w:t>), but diabetes and other comorbidity proxies attenuated it by 84% (</w:t>
      </w:r>
      <w:r>
        <m:oMath>
          <m:box>
            <m:e>
              <m:r>
                <m:rPr>
                  <m:sty m:val="i"/>
                </m:rPr>
                <m:t>P</m:t>
              </m:r>
              <m:r>
                <m:rPr>
                  <m:sty m:val="p"/>
                </m:rPr>
                <m:t>=</m:t>
              </m:r>
              <m:r>
                <m:rPr>
                  <m:sty m:val="p"/>
                </m:rPr>
                <m:t>0.32</m:t>
              </m:r>
            </m:e>
          </m:box>
        </m:oMath>
      </w:r>
      <w:r>
        <w:t>). SCR confirmed 2.04-fold variation in outpatient neuropathic pain prescribing after age-sex standardisation.</w:t>
      </w:r>
    </w:p>
    <w:p>
      <w:r>
        <w:rPr>
          <w:b/>
        </w:rPr>
        <w:t xml:space="preserve">Conclusion: </w:t>
      </w:r>
      <w:r>
        <w:t>Crude acute analgesic prescribing varied nearly twofold across prefectures, but the unadjusted Tohoku excess was not evident after age-sex standardisation. Neuropathic pain prescribing varied even more widely and was partly accounted for by comorbidity proxies. These findings suggest that cultural labels are not a reliable basis for estimating population analgesic prescribing, and that individual clinical assessment remains essential.</w:t>
      </w:r>
    </w:p>
    <w:p>
      <w:r>
        <w:t>Keywords: pain; analgesics; cultural stereotype; regional variation; Japan; NDB Open Data</w:t>
      </w:r>
    </w:p>
    <w:p/>
    <w:p>
      <w:pPr>
        <w:pStyle w:val="Heading1"/>
      </w:pPr>
      <w:r>
        <w:rPr>
          <w:rFonts w:ascii="Times New Roman" w:hAnsi="Times New Roman"/>
          <w:color w:val="000000"/>
        </w:rPr>
        <w:t>Background</w:t>
      </w:r>
    </w:p>
    <w:p>
      <w:r>
        <w:t>When prescribing analgesics, clinicians routinely make assumptions about how much pain a patient can tolerate. These assumptions are often anchored to cultural labels.</w:t>
      </w:r>
      <w:r>
        <w:rPr>
          <w:sz w:val="20"/>
          <w:vertAlign w:val="superscript"/>
        </w:rPr>
        <w:t>1,2</w:t>
      </w:r>
      <w:r>
        <w:t xml:space="preserve"> Since Zborowski’s landmark observation that ethnic groups differ in pain behaviour,</w:t>
      </w:r>
      <w:r>
        <w:rPr>
          <w:sz w:val="20"/>
          <w:vertAlign w:val="superscript"/>
        </w:rPr>
        <w:t>3</w:t>
      </w:r>
      <w:r>
        <w:t xml:space="preserve"> a large body of literature has established that cultural norms influence pain reporting, treatment-seeking, and analgesic use.</w:t>
      </w:r>
      <w:r>
        <w:rPr>
          <w:sz w:val="20"/>
          <w:vertAlign w:val="superscript"/>
        </w:rPr>
        <w:t>4</w:t>
      </w:r>
      <w:r>
        <w:t xml:space="preserve"> Japan is a case in point: Hobara found that Japanese respondents rated pain behaviours as less appropriate than Euro-Americans,</w:t>
      </w:r>
      <w:r>
        <w:rPr>
          <w:sz w:val="20"/>
          <w:vertAlign w:val="superscript"/>
        </w:rPr>
        <w:t>5</w:t>
      </w:r>
      <w:r>
        <w:t xml:space="preserve"> and Feng et al showed that Japanese participants were far less willing to trade time to avoid pain on the EQ-5D than respondents in the UK and the Netherlands.</w:t>
      </w:r>
      <w:r>
        <w:rPr>
          <w:sz w:val="20"/>
          <w:vertAlign w:val="superscript"/>
        </w:rPr>
        <w:t>6</w:t>
      </w:r>
      <w:r>
        <w:t xml:space="preserve"> The resulting cultural label—“Japanese patients are stoic”—carries clinical risk whenever a clinician—whether surgeon, internist, or anaesthesiologist—assumes that a stoic presentation indicates lower analgesic need.</w:t>
      </w:r>
    </w:p>
    <w:p>
      <w:r>
        <w:t>Most cross-cultural pain studies compare behaviour between nations, treating each country as a homogeneous unit. However, substantial cultural heterogeneity exists within countries. Cohen and Nisbett demonstrated that the “culture of honour” in the southern United States produces measurably different behavioural responses from the North, including physiological stress responses.</w:t>
      </w:r>
      <w:r>
        <w:rPr>
          <w:sz w:val="20"/>
          <w:vertAlign w:val="superscript"/>
        </w:rPr>
        <w:t>7</w:t>
      </w:r>
      <w:r>
        <w:t xml:space="preserve"> In Japan, regional cultural identities remain strong despite the discourse of national homogeneity. The Tohoku region (northeastern Honshu) is traditionally perceived as embodying stoic endurance,</w:t>
      </w:r>
      <w:r>
        <w:rPr>
          <w:sz w:val="20"/>
          <w:vertAlign w:val="superscript"/>
        </w:rPr>
        <w:t>8</w:t>
      </w:r>
      <w:r>
        <w:t xml:space="preserve"> and even the Japanese word for throbbing pain (uzuku) shows distinct regional usage patterns that map onto historical dialect boundaries.</w:t>
      </w:r>
      <w:r>
        <w:rPr>
          <w:sz w:val="20"/>
          <w:vertAlign w:val="superscript"/>
        </w:rPr>
        <w:t>9</w:t>
      </w:r>
      <w:r>
        <w:t xml:space="preserve"> A 2017 Pfizer Japan survey found that 74.1% of chronic pain respondents reported enduring pain, with prefecture-level rates ranging from 68.3% (Kanagawa) to 81.6% (Tochigi).</w:t>
      </w:r>
      <w:r>
        <w:rPr>
          <w:sz w:val="20"/>
          <w:vertAlign w:val="superscript"/>
        </w:rPr>
        <w:t>10</w:t>
      </w:r>
      <w:r>
        <w:t xml:space="preserve"> Yet whether such differences translate into measurable differences in healthcare utilisation at the population level remains unknown.</w:t>
      </w:r>
    </w:p>
    <w:p>
      <w:r>
        <w:t>Japan’s universal health insurance system, standardised drug pricing, and the National Database of Health Insurance Claims (NDB)—capturing virtually all reimbursed healthcare utilisation for approximately 125 million insured individuals</w:t>
      </w:r>
      <w:r>
        <w:rPr>
          <w:sz w:val="20"/>
          <w:vertAlign w:val="superscript"/>
        </w:rPr>
        <w:t>11</w:t>
      </w:r>
      <w:r>
        <w:t>—provide a unique setting for ecological analysis of regional prescribing variation. Recent work has documented up to 1.6-fold regional variation in high-impact chronic pain prevalence using a large internet survey</w:t>
      </w:r>
      <w:r>
        <w:rPr>
          <w:sz w:val="20"/>
          <w:vertAlign w:val="superscript"/>
        </w:rPr>
        <w:t>12</w:t>
      </w:r>
      <w:r>
        <w:t xml:space="preserve"> and up to 4-fold variation in cancer opioid prescribing using hospital claims data.</w:t>
      </w:r>
      <w:r>
        <w:rPr>
          <w:sz w:val="20"/>
          <w:vertAlign w:val="superscript"/>
        </w:rPr>
        <w:t>13</w:t>
      </w:r>
      <w:r>
        <w:t xml:space="preserve"> Taira et al demonstrated substantial regional inequality in dental care utilisation using NDB-derived standardised claim ratios across all 47 prefectures.</w:t>
      </w:r>
      <w:r>
        <w:rPr>
          <w:sz w:val="20"/>
          <w:vertAlign w:val="superscript"/>
        </w:rPr>
        <w:t>14</w:t>
      </w:r>
      <w:r>
        <w:t xml:space="preserve"> However, no study has applied this population-complete ecological framework to pain-related prescribing.</w:t>
      </w:r>
    </w:p>
    <w:p>
      <w:r>
        <w:t>The perioperative setting offers a further methodological advantage: because all patients in Phase 1 are hospitalised for surgery, geographic differences in outpatient healthcare access are unlikely to be the main driver of the Phase 1 findings, although surgical case-mix and hospital practice patterns remain unmeasured. This study had three objectives: (1) map regional variation in acute perioperative analgesic prescribing across 47 prefectures; (2) examine outpatient neuropathic pain prescribing as a population-level proxy for chronic neuropathic pain-related prescribing after adjustment for comorbidity proxies; and (3) integrate acute and chronic pain findings at the population level.</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analysed prefecture-level aggregate data from the NDB Open Data. It is reported following the Strengthening the Reporting of Observational Studies in Epidemiology (STROBE) statement</w:t>
      </w:r>
      <w:r>
        <w:rPr>
          <w:sz w:val="20"/>
          <w:vertAlign w:val="superscript"/>
        </w:rPr>
        <w:t>15</w:t>
      </w:r>
      <w:r>
        <w:t xml:space="preserve"> and the REporting of studies Conducted using Observational Routinely-collected health Data (RECORD) extension.</w:t>
      </w:r>
      <w:r>
        <w:rPr>
          <w:sz w:val="20"/>
          <w:vertAlign w:val="superscript"/>
        </w:rPr>
        <w:t>16</w:t>
      </w:r>
      <w:r>
        <w:t xml:space="preserve"> As only publicly available aggregate data were used, ethical approval was not required under Japan’s Ethical Guidelines for Medical and Biological Research Involving Human Subjects.</w:t>
      </w:r>
    </w:p>
    <w:p>
      <w:pPr>
        <w:pStyle w:val="Heading2"/>
      </w:pPr>
      <w:r>
        <w:rPr>
          <w:rFonts w:ascii="Times New Roman" w:hAnsi="Times New Roman"/>
          <w:color w:val="000000"/>
        </w:rPr>
        <w:t>Data source</w:t>
      </w:r>
    </w:p>
    <w:p>
      <w:r>
        <w:t>The 10th edition of the NDB Open Data (April 2023–March 2024) was used.</w:t>
      </w:r>
      <w:r>
        <w:rPr>
          <w:sz w:val="20"/>
          <w:vertAlign w:val="superscript"/>
        </w:rPr>
        <w:t>11</w:t>
      </w:r>
      <w:r>
        <w:t xml:space="preserve"> The NDB captures claims from all insurers within Japan’s universal coverage system, encompassing approximately 125 million insured individuals. Aggregate prescription and procedure data are published at the prefecture level (n=47) with suppression of cells containing fewer than ten events. Prefecture-level population estimates (October 2023, by five-year age group and sex) from the Statistics Bureau of Japan were used to compute per-capita rates and standardised claim ratios (SCR).</w:t>
      </w:r>
    </w:p>
    <w:p>
      <w:pPr>
        <w:pStyle w:val="Heading2"/>
      </w:pPr>
      <w:r>
        <w:rPr>
          <w:rFonts w:ascii="Times New Roman" w:hAnsi="Times New Roman"/>
          <w:color w:val="000000"/>
        </w:rPr>
        <w:t>Regional classification</w:t>
      </w:r>
    </w:p>
    <w:p>
      <w:r>
        <w:t>Prefectures were grouped into nine standard regional blocks following the classification used by the Statistics Bureau of Japan: Hokkaido (1 prefecture), Tohoku (6: Aomori, Iwate, Miyagi, Akita, Yamagata, Fukushima), Kanto (7), Hokuriku-Koshinetsu (6), Tokai (4), Kinki (6), Chugoku (5), Shikoku (4), and Kyushu-Okinawa (8). Tohoku was designated as the primary region of interest a priori, based on its traditional cultural characterisation as embodying patient endurance (gaman).</w:t>
      </w:r>
    </w:p>
    <w:p>
      <w:pPr>
        <w:pStyle w:val="Heading2"/>
      </w:pPr>
      <w:r>
        <w:rPr>
          <w:rFonts w:ascii="Times New Roman" w:hAnsi="Times New Roman"/>
          <w:color w:val="000000"/>
        </w:rPr>
        <w:t>Phase 1: Acute perioperative analgesic prescribing</w:t>
      </w:r>
    </w:p>
    <w:p>
      <w:r>
        <w:t>Inpatient prescription data were extracted for three analgesic drug classes commonly used in perioperative pain management: Class 114 (antipyretic analgesics including NSAIDs and acetaminophen), Class 811 (opium alkaloid narcotics including morphine and codeine), and Class 821 (synthetic narcotics including fentanyl and pethidine). Inpatient surgical procedure counts were extracted from the K Surgery section (one of the principal procedure categories in the NDB classification of hospital claims) of the claims data. The analgesic-per-surgery index was calculated for each prefecture as total inpatient analgesic prescription units divided by total inpatient surgical procedure count. This ratio provides a standardised measure of analgesic intensity that accounts for differences in surgical volume between prefectures. Separate sub-analyses were conducted for each drug class to assess consistency.</w:t>
      </w:r>
    </w:p>
    <w:p>
      <w:pPr>
        <w:pStyle w:val="Heading2"/>
      </w:pPr>
      <w:r>
        <w:rPr>
          <w:rFonts w:ascii="Times New Roman" w:hAnsi="Times New Roman"/>
          <w:color w:val="000000"/>
        </w:rPr>
        <w:t>Phase 2: Outpatient neuropathic pain prescribing</w:t>
      </w:r>
    </w:p>
    <w:p>
      <w:r>
        <w:t>Five classes of outpatient oral neuropathic pain medications were extracted: pregabalin, mirogabalin, duloxetine, tramadol, and neurotropin. These agents are first-line or commonly used medications for neuropathic pain in Japan and serve as a population-level proxy for chronic neuropathic pain-related prescribing. Because individual diagnosis codes are unavailable in the aggregate open data, the proxy cannot distinguish postsurgical neuropathy from diabetic, postherpetic, or other neuropathic conditions. The neuropathic pain prescribing-per-surgery index was calculated as total outpatient neuropathic pain drug quantity divided by total inpatient surgical procedure count, using surgery count as a denominator that normalises for healthcare system capacity. Per-capita neuropathic pain prescribing rates (units per thousand population) were additionally computed using prefecture population data.</w:t>
      </w:r>
    </w:p>
    <w:p>
      <w:pPr>
        <w:pStyle w:val="Heading2"/>
      </w:pPr>
      <w:r>
        <w:rPr>
          <w:rFonts w:ascii="Times New Roman" w:hAnsi="Times New Roman"/>
          <w:color w:val="000000"/>
        </w:rPr>
        <w:t>Confounder disease proxies</w:t>
      </w:r>
    </w:p>
    <w:p>
      <w:r>
        <w:t>Four confounder disease proxies were extracted from outpatient data: oral hypoglycaemic agents (proxy for diabetic neuropathy, the most common cause of neuropathic pain in Japan), herpes zoster antivirals (proxy for postherpetic neuralgia), antidepressants excluding duloxetine (proxy for depression, because some antidepressants are co-prescribed with neuropathic pain medications), and anxiolytics (proxy for anxiety disorders). Each proxy was expressed per surgery to maintain consistency with the primary outcome. Outpatient nerve block procedure counts served as an additional independent neuropathic-pain-related proxy.</w:t>
      </w:r>
    </w:p>
    <w:p>
      <w:pPr>
        <w:pStyle w:val="Heading2"/>
      </w:pPr>
      <w:r>
        <w:rPr>
          <w:rFonts w:ascii="Times New Roman" w:hAnsi="Times New Roman"/>
          <w:color w:val="000000"/>
        </w:rPr>
        <w:t>Statistical analysis</w:t>
      </w:r>
    </w:p>
    <w:p>
      <w:r>
        <w:t>Regional differences in Phase 1 were assessed using the Kruskal–Wallis test across nine regional blocks, followed by post-hoc Mann–Whitney U tests with Bonferroni correction for pairwise comparisons. Effect sizes were quantified using Cohen’s d. For Phase 2, five regression models were fitted to examine the Tohoku regional effect with progressive confounder adjustment: Model 1 (unadjusted Tohoku vs non-Tohoku comparison), Model 2 (neuropathic pain ~ diabetes + herpes + antidepressants + anxiolytics + Tohoku indicator), Model 3 (core neuropathic drugs only ~ same confounders), Model 4 (nerve blocks ~ same confounders), and Model 5 (neuropathic pain ~ acute analgesic index + confounders).</w:t>
      </w:r>
    </w:p>
    <w:p>
      <w:r>
        <w:t>The adjusted neuropathic pain prescribing index was derived as residuals from regressing neuropathic pain prescribing on the four confounder proxies. Standardised claim ratios (SCR) were computed by indirect age-sex standardisation following Taira et al.</w:t>
      </w:r>
      <w:r>
        <w:rPr>
          <w:sz w:val="20"/>
          <w:vertAlign w:val="superscript"/>
        </w:rPr>
        <w:t>14</w:t>
      </w:r>
      <w:r>
        <w:t xml:space="preserve"> National age-sex-specific prescription rates (18 five-year age groups × 2 sexes) from the NDB were applied to each prefecture’s population structure. All analyses used Python 3.11 (NumPy 1.24, SciPy 1.11).</w:t>
      </w:r>
    </w:p>
    <w:p>
      <w:pPr>
        <w:pStyle w:val="Heading2"/>
      </w:pPr>
      <w:r>
        <w:rPr>
          <w:rFonts w:ascii="Times New Roman" w:hAnsi="Times New Roman"/>
          <w:color w:val="000000"/>
        </w:rPr>
        <w:t>Patient and public involvement</w:t>
      </w:r>
    </w:p>
    <w:p>
      <w:r>
        <w:t>Patients or members of the public were not involved in the design, conduct, reporting, or dissemination plans of this research.</w:t>
      </w:r>
    </w:p>
    <w:p>
      <w:pPr>
        <w:pStyle w:val="Heading1"/>
      </w:pPr>
      <w:r>
        <w:rPr>
          <w:rFonts w:ascii="Times New Roman" w:hAnsi="Times New Roman"/>
          <w:color w:val="000000"/>
        </w:rPr>
        <w:t>Results</w:t>
      </w:r>
    </w:p>
    <w:p>
      <w:pPr>
        <w:pStyle w:val="Heading2"/>
      </w:pPr>
      <w:r>
        <w:rPr>
          <w:rFonts w:ascii="Times New Roman" w:hAnsi="Times New Roman"/>
          <w:color w:val="000000"/>
        </w:rPr>
        <w:t>Phase 1: Regional variation in acute perioperative analgesic prescribing</w:t>
      </w:r>
    </w:p>
    <w:p>
      <w:r>
        <w:t xml:space="preserve">During April 2023–March 2024, the NDB recorded 7,903,515 inpatient surgical procedures and 274,579,850 analgesic prescription units across 47 prefectures. The national mean analgesic-per-surgery index was 35.78 (SD 5.69), ranging from 25.20 (Gifu) to 49.75 (Kagoshima)—a 1.97-fold difference (Kruskal–Wallis </w:t>
      </w:r>
      <w:r>
        <m:oMath>
          <m:box>
            <m:e>
              <m:r>
                <m:rPr>
                  <m:sty m:val="i"/>
                </m:rPr>
                <m:t>P</m:t>
              </m:r>
              <m:r>
                <m:rPr>
                  <m:sty m:val="p"/>
                </m:rPr>
                <m:t>&lt;</m:t>
              </m:r>
              <m:r>
                <m:rPr>
                  <m:sty m:val="p"/>
                </m:rPr>
                <m:t>0.001</m:t>
              </m:r>
            </m:e>
          </m:box>
        </m:oMath>
      </w:r>
      <w:r>
        <w:t xml:space="preserve"> across nine regions; Table 1).</w:t>
      </w:r>
    </w:p>
    <w:p>
      <w:pPr>
        <w:spacing w:before="280"/>
      </w:pPr>
      <w:r>
        <w:rPr>
          <w:b/>
          <w:sz w:val="20"/>
        </w:rPr>
        <w:t xml:space="preserve">Table 1. </w:t>
      </w:r>
      <w:r>
        <w:rPr>
          <w:sz w:val="20"/>
        </w:rPr>
        <w:t xml:space="preserve">Regional summary of inpatient analgesic prescribing per surgery across nine regional blocks. Values are unadjusted analgesic-per-surgery index (mean ± SD) and do not account for age-sex or case-mix differences. Kruskal–Wallis </w:t>
      </w:r>
      <w:r>
        <w:rPr>
          <w:sz w:val="20"/>
        </w:rPr>
        <m:oMath>
          <m:box>
            <m:e>
              <m:r>
                <m:rPr>
                  <m:sty m:val="i"/>
                </m:rPr>
                <m:t>P</m:t>
              </m:r>
              <m:r>
                <m:rPr>
                  <m:sty m:val="p"/>
                </m:rPr>
                <m:t>&lt;</m:t>
              </m:r>
              <m:r>
                <m:rPr>
                  <m:sty m:val="p"/>
                </m:rPr>
                <m:t>0.001</m:t>
              </m:r>
            </m:e>
          </m:box>
        </m:oMath>
      </w:r>
      <w:r>
        <w:rPr>
          <w:sz w:val="20"/>
        </w:rPr>
        <w: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Region</w:t>
            </w:r>
          </w:p>
        </w:tc>
        <w:tc>
          <w:tcPr>
            <w:tcW w:type="dxa" w:w="2126"/>
          </w:tcPr>
          <w:p>
            <w:r>
              <w:rPr>
                <w:b/>
                <w:sz w:val="18"/>
              </w:rPr>
              <w:t>n (prefectures)</w:t>
            </w:r>
          </w:p>
        </w:tc>
        <w:tc>
          <w:tcPr>
            <w:tcW w:type="dxa" w:w="2126"/>
          </w:tcPr>
          <w:p>
            <w:r>
              <w:rPr>
                <w:b/>
                <w:sz w:val="18"/>
              </w:rPr>
              <w:t>Mean ± SD</w:t>
            </w:r>
          </w:p>
        </w:tc>
        <w:tc>
          <w:tcPr>
            <w:tcW w:type="dxa" w:w="2126"/>
          </w:tcPr>
          <w:p>
            <w:r>
              <w:rPr>
                <w:b/>
                <w:sz w:val="18"/>
              </w:rPr>
              <w:t>Range</w:t>
            </w:r>
          </w:p>
        </w:tc>
      </w:tr>
      <w:tr>
        <w:tc>
          <w:tcPr>
            <w:tcW w:type="dxa" w:w="2126"/>
          </w:tcPr>
          <w:p>
            <w:r>
              <w:rPr>
                <w:sz w:val="18"/>
              </w:rPr>
              <w:t>Hokkaido</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Tohoku</w:t>
            </w:r>
          </w:p>
        </w:tc>
        <w:tc>
          <w:tcPr>
            <w:tcW w:type="dxa" w:w="2126"/>
          </w:tcPr>
          <w:p>
            <w:r>
              <w:rPr>
                <w:sz w:val="18"/>
              </w:rPr>
              <w:t>6</w:t>
            </w:r>
          </w:p>
        </w:tc>
        <w:tc>
          <w:tcPr>
            <w:tcW w:type="dxa" w:w="2126"/>
          </w:tcPr>
          <w:p>
            <w:r>
              <w:rPr>
                <w:sz w:val="18"/>
              </w:rPr>
              <w:t>39.97 ± 3.53</w:t>
            </w:r>
          </w:p>
        </w:tc>
        <w:tc>
          <w:tcPr>
            <w:tcW w:type="dxa" w:w="2126"/>
          </w:tcPr>
          <w:p>
            <w:r>
              <w:rPr>
                <w:sz w:val="18"/>
              </w:rPr>
              <w:t>35.18–44.51</w:t>
            </w:r>
          </w:p>
        </w:tc>
      </w:tr>
      <w:tr>
        <w:tc>
          <w:tcPr>
            <w:tcW w:type="dxa" w:w="2126"/>
          </w:tcPr>
          <w:p>
            <w:r>
              <w:rPr>
                <w:sz w:val="18"/>
              </w:rPr>
              <w:t>Kanto</w:t>
            </w:r>
          </w:p>
        </w:tc>
        <w:tc>
          <w:tcPr>
            <w:tcW w:type="dxa" w:w="2126"/>
          </w:tcPr>
          <w:p>
            <w:r>
              <w:rPr>
                <w:sz w:val="18"/>
              </w:rPr>
              <w:t>7</w:t>
            </w:r>
          </w:p>
        </w:tc>
        <w:tc>
          <w:tcPr>
            <w:tcW w:type="dxa" w:w="2126"/>
          </w:tcPr>
          <w:p>
            <w:r>
              <w:rPr>
                <w:sz w:val="18"/>
              </w:rPr>
              <w:t>33.00 ± 2.09</w:t>
            </w:r>
          </w:p>
        </w:tc>
        <w:tc>
          <w:tcPr>
            <w:tcW w:type="dxa" w:w="2126"/>
          </w:tcPr>
          <w:p>
            <w:r>
              <w:rPr>
                <w:sz w:val="18"/>
              </w:rPr>
              <w:t>29.82–35.36</w:t>
            </w:r>
          </w:p>
        </w:tc>
      </w:tr>
      <w:tr>
        <w:tc>
          <w:tcPr>
            <w:tcW w:type="dxa" w:w="2126"/>
          </w:tcPr>
          <w:p>
            <w:r>
              <w:rPr>
                <w:sz w:val="18"/>
              </w:rPr>
              <w:t>Hokuriku-Koshinetsu</w:t>
            </w:r>
          </w:p>
        </w:tc>
        <w:tc>
          <w:tcPr>
            <w:tcW w:type="dxa" w:w="2126"/>
          </w:tcPr>
          <w:p>
            <w:r>
              <w:rPr>
                <w:sz w:val="18"/>
              </w:rPr>
              <w:t>6</w:t>
            </w:r>
          </w:p>
        </w:tc>
        <w:tc>
          <w:tcPr>
            <w:tcW w:type="dxa" w:w="2126"/>
          </w:tcPr>
          <w:p>
            <w:r>
              <w:rPr>
                <w:sz w:val="18"/>
              </w:rPr>
              <w:t>35.38 ± 3.54</w:t>
            </w:r>
          </w:p>
        </w:tc>
        <w:tc>
          <w:tcPr>
            <w:tcW w:type="dxa" w:w="2126"/>
          </w:tcPr>
          <w:p>
            <w:r>
              <w:rPr>
                <w:sz w:val="18"/>
              </w:rPr>
              <w:t>31.17–40.04</w:t>
            </w:r>
          </w:p>
        </w:tc>
      </w:tr>
      <w:tr>
        <w:tc>
          <w:tcPr>
            <w:tcW w:type="dxa" w:w="2126"/>
          </w:tcPr>
          <w:p>
            <w:r>
              <w:rPr>
                <w:sz w:val="18"/>
              </w:rPr>
              <w:t>Tokai</w:t>
            </w:r>
          </w:p>
        </w:tc>
        <w:tc>
          <w:tcPr>
            <w:tcW w:type="dxa" w:w="2126"/>
          </w:tcPr>
          <w:p>
            <w:r>
              <w:rPr>
                <w:sz w:val="18"/>
              </w:rPr>
              <w:t>4</w:t>
            </w:r>
          </w:p>
        </w:tc>
        <w:tc>
          <w:tcPr>
            <w:tcW w:type="dxa" w:w="2126"/>
          </w:tcPr>
          <w:p>
            <w:r>
              <w:rPr>
                <w:sz w:val="18"/>
              </w:rPr>
              <w:t>27.62 ± 2.18</w:t>
            </w:r>
          </w:p>
        </w:tc>
        <w:tc>
          <w:tcPr>
            <w:tcW w:type="dxa" w:w="2126"/>
          </w:tcPr>
          <w:p>
            <w:r>
              <w:rPr>
                <w:sz w:val="18"/>
              </w:rPr>
              <w:t>25.20–30.07</w:t>
            </w:r>
          </w:p>
        </w:tc>
      </w:tr>
      <w:tr>
        <w:tc>
          <w:tcPr>
            <w:tcW w:type="dxa" w:w="2126"/>
          </w:tcPr>
          <w:p>
            <w:r>
              <w:rPr>
                <w:sz w:val="18"/>
              </w:rPr>
              <w:t>Kinki</w:t>
            </w:r>
          </w:p>
        </w:tc>
        <w:tc>
          <w:tcPr>
            <w:tcW w:type="dxa" w:w="2126"/>
          </w:tcPr>
          <w:p>
            <w:r>
              <w:rPr>
                <w:sz w:val="18"/>
              </w:rPr>
              <w:t>6</w:t>
            </w:r>
          </w:p>
        </w:tc>
        <w:tc>
          <w:tcPr>
            <w:tcW w:type="dxa" w:w="2126"/>
          </w:tcPr>
          <w:p>
            <w:r>
              <w:rPr>
                <w:sz w:val="18"/>
              </w:rPr>
              <w:t>30.02 ± 2.03</w:t>
            </w:r>
          </w:p>
        </w:tc>
        <w:tc>
          <w:tcPr>
            <w:tcW w:type="dxa" w:w="2126"/>
          </w:tcPr>
          <w:p>
            <w:r>
              <w:rPr>
                <w:sz w:val="18"/>
              </w:rPr>
              <w:t>27.92–32.78</w:t>
            </w:r>
          </w:p>
        </w:tc>
      </w:tr>
      <w:tr>
        <w:tc>
          <w:tcPr>
            <w:tcW w:type="dxa" w:w="2126"/>
          </w:tcPr>
          <w:p>
            <w:r>
              <w:rPr>
                <w:sz w:val="18"/>
              </w:rPr>
              <w:t>Chugoku</w:t>
            </w:r>
          </w:p>
        </w:tc>
        <w:tc>
          <w:tcPr>
            <w:tcW w:type="dxa" w:w="2126"/>
          </w:tcPr>
          <w:p>
            <w:r>
              <w:rPr>
                <w:sz w:val="18"/>
              </w:rPr>
              <w:t>5</w:t>
            </w:r>
          </w:p>
        </w:tc>
        <w:tc>
          <w:tcPr>
            <w:tcW w:type="dxa" w:w="2126"/>
          </w:tcPr>
          <w:p>
            <w:r>
              <w:rPr>
                <w:sz w:val="18"/>
              </w:rPr>
              <w:t>35.73 ± 4.18</w:t>
            </w:r>
          </w:p>
        </w:tc>
        <w:tc>
          <w:tcPr>
            <w:tcW w:type="dxa" w:w="2126"/>
          </w:tcPr>
          <w:p>
            <w:r>
              <w:rPr>
                <w:sz w:val="18"/>
              </w:rPr>
              <w:t>30.99–40.19</w:t>
            </w:r>
          </w:p>
        </w:tc>
      </w:tr>
      <w:tr>
        <w:tc>
          <w:tcPr>
            <w:tcW w:type="dxa" w:w="2126"/>
          </w:tcPr>
          <w:p>
            <w:r>
              <w:rPr>
                <w:sz w:val="18"/>
              </w:rPr>
              <w:t>Shikoku</w:t>
            </w:r>
          </w:p>
        </w:tc>
        <w:tc>
          <w:tcPr>
            <w:tcW w:type="dxa" w:w="2126"/>
          </w:tcPr>
          <w:p>
            <w:r>
              <w:rPr>
                <w:sz w:val="18"/>
              </w:rPr>
              <w:t>4</w:t>
            </w:r>
          </w:p>
        </w:tc>
        <w:tc>
          <w:tcPr>
            <w:tcW w:type="dxa" w:w="2126"/>
          </w:tcPr>
          <w:p>
            <w:r>
              <w:rPr>
                <w:sz w:val="18"/>
              </w:rPr>
              <w:t>36.33 ± 3.27</w:t>
            </w:r>
          </w:p>
        </w:tc>
        <w:tc>
          <w:tcPr>
            <w:tcW w:type="dxa" w:w="2126"/>
          </w:tcPr>
          <w:p>
            <w:r>
              <w:rPr>
                <w:sz w:val="18"/>
              </w:rPr>
              <w:t>33.49–41.02</w:t>
            </w:r>
          </w:p>
        </w:tc>
      </w:tr>
      <w:tr>
        <w:tc>
          <w:tcPr>
            <w:tcW w:type="dxa" w:w="2126"/>
          </w:tcPr>
          <w:p>
            <w:r>
              <w:rPr>
                <w:sz w:val="18"/>
              </w:rPr>
              <w:t>Kyushu-Okinawa</w:t>
            </w:r>
          </w:p>
        </w:tc>
        <w:tc>
          <w:tcPr>
            <w:tcW w:type="dxa" w:w="2126"/>
          </w:tcPr>
          <w:p>
            <w:r>
              <w:rPr>
                <w:sz w:val="18"/>
              </w:rPr>
              <w:t>8</w:t>
            </w:r>
          </w:p>
        </w:tc>
        <w:tc>
          <w:tcPr>
            <w:tcW w:type="dxa" w:w="2126"/>
          </w:tcPr>
          <w:p>
            <w:r>
              <w:rPr>
                <w:sz w:val="18"/>
              </w:rPr>
              <w:t>42.26 ± 4.33</w:t>
            </w:r>
          </w:p>
        </w:tc>
        <w:tc>
          <w:tcPr>
            <w:tcW w:type="dxa" w:w="2126"/>
          </w:tcPr>
          <w:p>
            <w:r>
              <w:rPr>
                <w:sz w:val="18"/>
              </w:rPr>
              <w:t>35.81–49.75</w:t>
            </w:r>
          </w:p>
        </w:tc>
      </w:tr>
    </w:tbl>
    <w:p/>
    <w:p>
      <w:r>
        <w:t xml:space="preserve">Substantial regional clustering was observed. Tokai and Kinki (western Japan) had the lowest indices, while Kyushu-Okinawa and Hokkaido had the highest. Tohoku, culturally perceived as Japan’s most stoic region, ranked 7th of the nine regions with a mean index of 39.97 (SD 3.53), significantly above the non-Tohoku mean of 35.17 (Mann–Whitney U=190, </w:t>
      </w:r>
      <w:r>
        <m:oMath>
          <m:box>
            <m:e>
              <m:r>
                <m:rPr>
                  <m:sty m:val="i"/>
                </m:rPr>
                <m:t>P</m:t>
              </m:r>
              <m:r>
                <m:rPr>
                  <m:sty m:val="p"/>
                </m:rPr>
                <m:t>=</m:t>
              </m:r>
              <m:r>
                <m:rPr>
                  <m:sty m:val="p"/>
                </m:rPr>
                <m:t>0.031</m:t>
              </m:r>
            </m:e>
          </m:box>
        </m:oMath>
      </w:r>
      <w:r>
        <w:t xml:space="preserve">; Cohen’s </w:t>
      </w:r>
      <w:r>
        <m:oMath>
          <m:box>
            <m:e>
              <m:r>
                <m:rPr>
                  <m:sty m:val="i"/>
                </m:rPr>
                <m:t>d</m:t>
              </m:r>
              <m:r>
                <m:rPr>
                  <m:sty m:val="p"/>
                </m:rPr>
                <m:t>=</m:t>
              </m:r>
              <m:r>
                <m:rPr>
                  <m:sty m:val="p"/>
                </m:rPr>
                <m:t>0.87</m:t>
              </m:r>
            </m:e>
          </m:box>
        </m:oMath>
      </w:r>
      <w:r>
        <w:t>). All six Tohoku prefectures ranked in the upper half nationally.</w:t>
      </w:r>
    </w:p>
    <w:p>
      <w:pPr>
        <w:pStyle w:val="Heading2"/>
      </w:pPr>
      <w:r>
        <w:rPr>
          <w:rFonts w:ascii="Times New Roman" w:hAnsi="Times New Roman"/>
          <w:color w:val="000000"/>
        </w:rPr>
        <w:t>Phase 2: Outpatient neuropathic pain prescribing (unadjusted)</w:t>
      </w:r>
    </w:p>
    <w:p>
      <w:r>
        <w:t xml:space="preserve">Nationally, outpatient neuropathic pain drug prescriptions totalled 2,289,380,822 units, comprising pregabalin (40.2%), neurotropin (20.1%), mirogabalin (19.6%), duloxetine (15.3%), and tramadol (4.9%). Tohoku had a markedly higher neuropathic pain prescribing-per-surgery index (432.8 vs 282.5; </w:t>
      </w:r>
      <w:r>
        <m:oMath>
          <m:box>
            <m:e>
              <m:r>
                <m:rPr>
                  <m:sty m:val="i"/>
                </m:rPr>
                <m:t>P</m:t>
              </m:r>
              <m:r>
                <m:rPr>
                  <m:sty m:val="p"/>
                </m:rPr>
                <m:t>&lt;</m:t>
              </m:r>
              <m:r>
                <m:rPr>
                  <m:sty m:val="p"/>
                </m:rPr>
                <m:t>0.001</m:t>
              </m:r>
            </m:e>
          </m:box>
        </m:oMath>
      </w:r>
      <w:r>
        <w:t xml:space="preserve">; </w:t>
      </w:r>
      <w:r>
        <m:oMath>
          <m:box>
            <m:e>
              <m:r>
                <m:rPr>
                  <m:sty m:val="i"/>
                </m:rPr>
                <m:t>d</m:t>
              </m:r>
              <m:r>
                <m:rPr>
                  <m:sty m:val="p"/>
                </m:rPr>
                <m:t>=</m:t>
              </m:r>
              <m:r>
                <m:rPr>
                  <m:sty m:val="p"/>
                </m:rPr>
                <m:t>2.81</m:t>
              </m:r>
            </m:e>
          </m:box>
        </m:oMath>
      </w:r>
      <w:r>
        <w:t>), with Iwate (565.5), Aomori (519.9), and Akita (459.3) occupying the top three nationally (Figure 1).</w:t>
      </w:r>
    </w:p>
    <w:p>
      <w:pPr>
        <w:spacing w:before="240" w:after="240"/>
        <w:jc w:val="center"/>
      </w:pPr>
      <w:r>
        <w:rPr>
          <w:b/>
          <w:sz w:val="20"/>
        </w:rPr>
        <w:t xml:space="preserve">Figure 1. </w:t>
      </w:r>
      <w:r>
        <w:rPr>
          <w:sz w:val="20"/>
        </w:rPr>
        <w:t>Outpatient neuropathic pain drug prescribing per surgery by prefecture (unadjusted). Tohoku prefectures (red) cluster at the high end. Dashed line = national mean.</w:t>
      </w:r>
    </w:p>
    <w:p>
      <w:pPr>
        <w:pStyle w:val="Heading2"/>
      </w:pPr>
      <w:r>
        <w:rPr>
          <w:rFonts w:ascii="Times New Roman" w:hAnsi="Times New Roman"/>
          <w:color w:val="000000"/>
        </w:rPr>
        <w:t>Confounder analysis and adjustment</w:t>
      </w:r>
    </w:p>
    <w:p>
      <w:r>
        <w:t>Neuropathic pain prescribing showed strong correlations with confounder disease proxies. Diabetes drug prescribing was the strongest correlate (</w:t>
      </w:r>
      <w:r>
        <m:oMath>
          <m:box>
            <m:e>
              <m:r>
                <m:rPr>
                  <m:sty m:val="i"/>
                </m:rPr>
                <m:t>r</m:t>
              </m:r>
              <m:r>
                <m:rPr>
                  <m:sty m:val="p"/>
                </m:rPr>
                <m:t>=</m:t>
              </m:r>
              <m:r>
                <m:rPr>
                  <m:sty m:val="p"/>
                </m:rPr>
                <m:t>0.87</m:t>
              </m:r>
            </m:e>
          </m:box>
        </m:oMath>
      </w:r>
      <w:r>
        <w:t xml:space="preserve">, </w:t>
      </w:r>
      <w:r>
        <m:oMath>
          <m:box>
            <m:e>
              <m:r>
                <m:rPr>
                  <m:sty m:val="i"/>
                </m:rPr>
                <m:t>P</m:t>
              </m:r>
              <m:r>
                <m:rPr>
                  <m:sty m:val="p"/>
                </m:rPr>
                <m:t>&lt;</m:t>
              </m:r>
              <m:r>
                <m:rPr>
                  <m:sty m:val="p"/>
                </m:rPr>
                <m:t>0.001</m:t>
              </m:r>
            </m:e>
          </m:box>
        </m:oMath>
      </w:r>
      <w:r>
        <w:t>), followed by anxiolytics (</w:t>
      </w:r>
      <w:r>
        <m:oMath>
          <m:box>
            <m:e>
              <m:r>
                <m:rPr>
                  <m:sty m:val="i"/>
                </m:rPr>
                <m:t>r</m:t>
              </m:r>
              <m:r>
                <m:rPr>
                  <m:sty m:val="p"/>
                </m:rPr>
                <m:t>=</m:t>
              </m:r>
              <m:r>
                <m:rPr>
                  <m:sty m:val="p"/>
                </m:rPr>
                <m:t>0.75</m:t>
              </m:r>
            </m:e>
          </m:box>
        </m:oMath>
      </w:r>
      <w:r>
        <w:t xml:space="preserve">, </w:t>
      </w:r>
      <w:r>
        <m:oMath>
          <m:box>
            <m:e>
              <m:r>
                <m:rPr>
                  <m:sty m:val="i"/>
                </m:rPr>
                <m:t>P</m:t>
              </m:r>
              <m:r>
                <m:rPr>
                  <m:sty m:val="p"/>
                </m:rPr>
                <m:t>&lt;</m:t>
              </m:r>
              <m:r>
                <m:rPr>
                  <m:sty m:val="p"/>
                </m:rPr>
                <m:t>0.001</m:t>
              </m:r>
            </m:e>
          </m:box>
        </m:oMath>
      </w:r>
      <w:r>
        <w:t>), antidepressants (</w:t>
      </w:r>
      <w:r>
        <m:oMath>
          <m:box>
            <m:e>
              <m:r>
                <m:rPr>
                  <m:sty m:val="i"/>
                </m:rPr>
                <m:t>r</m:t>
              </m:r>
              <m:r>
                <m:rPr>
                  <m:sty m:val="p"/>
                </m:rPr>
                <m:t>=</m:t>
              </m:r>
              <m:r>
                <m:rPr>
                  <m:sty m:val="p"/>
                </m:rPr>
                <m:t>0.46</m:t>
              </m:r>
            </m:e>
          </m:box>
        </m:oMath>
      </w:r>
      <w:r>
        <w:t xml:space="preserve">, </w:t>
      </w:r>
      <w:r>
        <m:oMath>
          <m:box>
            <m:e>
              <m:r>
                <m:rPr>
                  <m:sty m:val="i"/>
                </m:rPr>
                <m:t>P</m:t>
              </m:r>
              <m:r>
                <m:rPr>
                  <m:sty m:val="p"/>
                </m:rPr>
                <m:t>=</m:t>
              </m:r>
              <m:r>
                <m:rPr>
                  <m:sty m:val="p"/>
                </m:rPr>
                <m:t>0.001</m:t>
              </m:r>
            </m:e>
          </m:box>
        </m:oMath>
      </w:r>
      <w:r>
        <w:t>), and herpes antivirals (</w:t>
      </w:r>
      <w:r>
        <m:oMath>
          <m:box>
            <m:e>
              <m:r>
                <m:rPr>
                  <m:sty m:val="i"/>
                </m:rPr>
                <m:t>r</m:t>
              </m:r>
              <m:r>
                <m:rPr>
                  <m:sty m:val="p"/>
                </m:rPr>
                <m:t>=</m:t>
              </m:r>
              <m:r>
                <m:rPr>
                  <m:sty m:val="p"/>
                </m:rPr>
                <m:t>0.19</m:t>
              </m:r>
            </m:e>
          </m:box>
        </m:oMath>
      </w:r>
      <w:r>
        <w:t xml:space="preserve">, </w:t>
      </w:r>
      <w:r>
        <m:oMath>
          <m:box>
            <m:e>
              <m:r>
                <m:rPr>
                  <m:sty m:val="i"/>
                </m:rPr>
                <m:t>P</m:t>
              </m:r>
              <m:r>
                <m:rPr>
                  <m:sty m:val="p"/>
                </m:rPr>
                <m:t>=</m:t>
              </m:r>
              <m:r>
                <m:rPr>
                  <m:sty m:val="p"/>
                </m:rPr>
                <m:t>0.194</m:t>
              </m:r>
            </m:e>
          </m:box>
        </m:oMath>
      </w:r>
      <w:r>
        <w:t>). These four confounders collectively accounted for 81.4% of between-prefecture variance in neuropathic pain prescribing (</w:t>
      </w:r>
      <w:r>
        <m:oMath>
          <m:box>
            <m:e>
              <m:sSup>
                <m:e>
                  <m:r>
                    <m:rPr>
                      <m:sty m:val="i"/>
                    </m:rPr>
                    <m:t>R</m:t>
                  </m:r>
                </m:e>
                <m:sup>
                  <m:r>
                    <m:rPr>
                      <m:sty m:val="p"/>
                    </m:rPr>
                    <m:t>2</m:t>
                  </m:r>
                </m:sup>
              </m:sSup>
              <m:r>
                <m:rPr>
                  <m:sty m:val="p"/>
                </m:rPr>
                <m:t>=</m:t>
              </m:r>
              <m:r>
                <m:rPr>
                  <m:sty m:val="p"/>
                </m:rPr>
                <m:t>0.814</m:t>
              </m:r>
            </m:e>
          </m:box>
        </m:oMath>
      </w:r>
      <w:r>
        <w:t xml:space="preserve"> in Model 2; Figure 2).</w:t>
      </w:r>
    </w:p>
    <w:p>
      <w:pPr>
        <w:spacing w:before="240" w:after="240"/>
        <w:jc w:val="center"/>
      </w:pPr>
      <w:r>
        <w:rPr>
          <w:b/>
          <w:sz w:val="20"/>
        </w:rPr>
        <w:t xml:space="preserve">Figure 2. </w:t>
      </w:r>
      <w:r>
        <w:rPr>
          <w:sz w:val="20"/>
        </w:rPr>
        <w:t>Correlation between neuropathic pain prescribing and confounder disease proxies. Each dot represents one prefecture. Tohoku prefectures are marked with red borders. Diabetes drugs show the strongest correlation (</w:t>
      </w:r>
      <w:r>
        <w:rPr>
          <w:sz w:val="20"/>
        </w:rPr>
        <m:oMath>
          <m:box>
            <m:e>
              <m:r>
                <m:rPr>
                  <m:sty m:val="i"/>
                </m:rPr>
                <m:t>r</m:t>
              </m:r>
              <m:r>
                <m:rPr>
                  <m:sty m:val="p"/>
                </m:rPr>
                <m:t>=</m:t>
              </m:r>
              <m:r>
                <m:rPr>
                  <m:sty m:val="p"/>
                </m:rPr>
                <m:t>0.87</m:t>
              </m:r>
            </m:e>
          </m:box>
        </m:oMath>
      </w:r>
      <w:r>
        <w:rPr>
          <w:sz w:val="20"/>
        </w:rPr>
        <w:t>).</w:t>
      </w:r>
    </w:p>
    <w:p>
      <w:r>
        <w:t>After adjustment for all four confounders, the Tohoku effect was attenuated and became nonsignificant in Model 2 (</w:t>
      </w:r>
      <w:r>
        <m:oMath>
          <m:box>
            <m:e>
              <m:r>
                <m:rPr>
                  <m:sty m:val="i"/>
                </m:rPr>
                <m:t>β</m:t>
              </m:r>
              <m:r>
                <m:rPr>
                  <m:sty m:val="p"/>
                </m:rPr>
                <m:t>=</m:t>
              </m:r>
              <m:r>
                <m:rPr>
                  <m:sty m:val="p"/>
                </m:rPr>
                <m:t>32.6</m:t>
              </m:r>
            </m:e>
          </m:box>
        </m:oMath>
      </w:r>
      <w:r>
        <w:t xml:space="preserve">, </w:t>
      </w:r>
      <w:r>
        <m:oMath>
          <m:box>
            <m:e>
              <m:r>
                <m:rPr>
                  <m:sty m:val="i"/>
                </m:rPr>
                <m:t>P</m:t>
              </m:r>
              <m:r>
                <m:rPr>
                  <m:sty m:val="p"/>
                </m:rPr>
                <m:t>=</m:t>
              </m:r>
              <m:r>
                <m:rPr>
                  <m:sty m:val="p"/>
                </m:rPr>
                <m:t>0.15</m:t>
              </m:r>
            </m:e>
          </m:box>
        </m:oMath>
      </w:r>
      <w:r>
        <w:t xml:space="preserve">). This was consistent across specifications: Model 3 (core neuropathic drugs only; </w:t>
      </w:r>
      <w:r>
        <m:oMath>
          <m:box>
            <m:e>
              <m:r>
                <m:rPr>
                  <m:sty m:val="i"/>
                </m:rPr>
                <m:t>β</m:t>
              </m:r>
              <m:r>
                <m:rPr>
                  <m:sty m:val="p"/>
                </m:rPr>
                <m:t>=</m:t>
              </m:r>
              <m:r>
                <m:rPr>
                  <m:sty m:val="p"/>
                </m:rPr>
                <m:t>15.7</m:t>
              </m:r>
            </m:e>
          </m:box>
        </m:oMath>
      </w:r>
      <w:r>
        <w:t xml:space="preserve">, </w:t>
      </w:r>
      <w:r>
        <m:oMath>
          <m:box>
            <m:e>
              <m:r>
                <m:rPr>
                  <m:sty m:val="i"/>
                </m:rPr>
                <m:t>P</m:t>
              </m:r>
              <m:r>
                <m:rPr>
                  <m:sty m:val="p"/>
                </m:rPr>
                <m:t>=</m:t>
              </m:r>
              <m:r>
                <m:rPr>
                  <m:sty m:val="p"/>
                </m:rPr>
                <m:t>0.23</m:t>
              </m:r>
            </m:e>
          </m:box>
        </m:oMath>
      </w:r>
      <w:r>
        <w:t xml:space="preserve">), Model 4 (nerve blocks; </w:t>
      </w:r>
      <w:r>
        <m:oMath>
          <m:box>
            <m:e>
              <m:r>
                <m:rPr>
                  <m:sty m:val="i"/>
                </m:rPr>
                <m:t>P</m:t>
              </m:r>
              <m:r>
                <m:rPr>
                  <m:sty m:val="p"/>
                </m:rPr>
                <m:t>=</m:t>
              </m:r>
              <m:r>
                <m:rPr>
                  <m:sty m:val="p"/>
                </m:rPr>
                <m:t>0.86</m:t>
              </m:r>
            </m:e>
          </m:box>
        </m:oMath>
      </w:r>
      <w:r>
        <w:t xml:space="preserve">), and Model 5 (integrated; </w:t>
      </w:r>
      <w:r>
        <m:oMath>
          <m:box>
            <m:e>
              <m:r>
                <m:rPr>
                  <m:sty m:val="i"/>
                </m:rPr>
                <m:t>β</m:t>
              </m:r>
              <m:r>
                <m:rPr>
                  <m:sty m:val="p"/>
                </m:rPr>
                <m:t>=</m:t>
              </m:r>
              <m:r>
                <m:rPr>
                  <m:sty m:val="p"/>
                </m:rPr>
                <m:t>31.5</m:t>
              </m:r>
            </m:e>
          </m:box>
        </m:oMath>
      </w:r>
      <w:r>
        <w:t xml:space="preserve">, </w:t>
      </w:r>
      <w:r>
        <m:oMath>
          <m:box>
            <m:e>
              <m:r>
                <m:rPr>
                  <m:sty m:val="i"/>
                </m:rPr>
                <m:t>P</m:t>
              </m:r>
              <m:r>
                <m:rPr>
                  <m:sty m:val="p"/>
                </m:rPr>
                <m:t>=</m:t>
              </m:r>
              <m:r>
                <m:rPr>
                  <m:sty m:val="p"/>
                </m:rPr>
                <m:t>0.15</m:t>
              </m:r>
            </m:e>
          </m:box>
        </m:oMath>
      </w:r>
      <w:r>
        <w:t>; Table 2).</w:t>
      </w:r>
    </w:p>
    <w:p>
      <w:pPr>
        <w:spacing w:before="280"/>
      </w:pPr>
      <w:r>
        <w:rPr>
          <w:b/>
          <w:sz w:val="20"/>
        </w:rPr>
        <w:t xml:space="preserve">Table 2. </w:t>
      </w:r>
      <w:r>
        <w:rPr>
          <w:sz w:val="20"/>
        </w:rPr>
        <w:t>Regression models for outpatient neuropathic pain prescribing with Tohoku indicator and confounder adjustment.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Model</w:t>
            </w:r>
          </w:p>
        </w:tc>
        <w:tc>
          <w:tcPr>
            <w:tcW w:type="dxa" w:w="1701"/>
          </w:tcPr>
          <w:p>
            <w:r>
              <w:rPr>
                <w:b/>
                <w:sz w:val="18"/>
              </w:rPr>
              <w:t xml:space="preserve">Tohoku </w:t>
            </w:r>
            <w:r>
              <w:rPr>
                <w:b/>
                <w:sz w:val="18"/>
              </w:rPr>
              <m:oMath>
                <m:box>
                  <m:e>
                    <m:r>
                      <m:rPr>
                        <m:sty m:val="i"/>
                      </m:rPr>
                      <m:t>β</m:t>
                    </m:r>
                  </m:e>
                </m:box>
              </m:oMath>
            </w:r>
          </w:p>
        </w:tc>
        <w:tc>
          <w:tcPr>
            <w:tcW w:type="dxa" w:w="1701"/>
          </w:tcPr>
          <w:p>
            <w:r>
              <w:rPr>
                <w:b/>
                <w:sz w:val="18"/>
              </w:rPr>
              <w:t>Tohoku P</w:t>
            </w:r>
          </w:p>
        </w:tc>
        <w:tc>
          <w:tcPr>
            <w:tcW w:type="dxa" w:w="1701"/>
          </w:tcPr>
          <w:p>
            <w:r>
              <w:rPr>
                <w:b/>
                <w:sz w:val="18"/>
              </w:rPr>
              <w:t>Fit</w:t>
            </w:r>
          </w:p>
        </w:tc>
        <w:tc>
          <w:tcPr>
            <w:tcW w:type="dxa" w:w="1701"/>
          </w:tcPr>
          <w:p>
            <w:r>
              <w:rPr>
                <w:b/>
                <w:sz w:val="18"/>
              </w:rPr>
              <w:t>Note</w:t>
            </w:r>
          </w:p>
        </w:tc>
      </w:tr>
      <w:tr>
        <w:tc>
          <w:tcPr>
            <w:tcW w:type="dxa" w:w="1701"/>
          </w:tcPr>
          <w:p>
            <w:r>
              <w:rPr>
                <w:sz w:val="18"/>
              </w:rPr>
              <w:t>Model 1 (unadjusted)</w:t>
            </w:r>
          </w:p>
        </w:tc>
        <w:tc>
          <w:tcPr>
            <w:tcW w:type="dxa" w:w="1701"/>
          </w:tcPr>
          <w:p>
            <w:r>
              <w:rPr>
                <w:sz w:val="18"/>
              </w:rPr>
              <w:t>—</w:t>
            </w:r>
          </w:p>
        </w:tc>
        <w:tc>
          <w:tcPr>
            <w:tcW w:type="dxa" w:w="1701"/>
          </w:tcPr>
          <w:p>
            <w:r>
              <w:rPr>
                <w:sz w:val="18"/>
              </w:rPr>
              <w:t>—</w:t>
            </w:r>
          </w:p>
        </w:tc>
        <w:tc>
          <w:tcPr>
            <w:tcW w:type="dxa" w:w="1701"/>
          </w:tcPr>
          <w:p>
            <w:r>
              <w:rPr>
                <w:sz w:val="18"/>
              </w:rPr>
              <m:oMath>
                <m:box>
                  <m:e>
                    <m:r>
                      <m:rPr>
                        <m:sty m:val="i"/>
                      </m:rPr>
                      <m:t>d</m:t>
                    </m:r>
                    <m:r>
                      <m:rPr>
                        <m:sty m:val="p"/>
                      </m:rPr>
                      <m:t>=</m:t>
                    </m:r>
                    <m:r>
                      <m:rPr>
                        <m:sty m:val="p"/>
                      </m:rPr>
                      <m:t>2.81</m:t>
                    </m:r>
                  </m:e>
                </m:box>
              </m:oMath>
            </w:r>
          </w:p>
        </w:tc>
        <w:tc>
          <w:tcPr>
            <w:tcW w:type="dxa" w:w="1701"/>
          </w:tcPr>
          <w:p>
            <w:r>
              <w:rPr>
                <w:sz w:val="18"/>
              </w:rPr>
              <m:oMath>
                <m:box>
                  <m:e>
                    <m:r>
                      <m:rPr>
                        <m:sty m:val="i"/>
                      </m:rPr>
                      <m:t>P</m:t>
                    </m:r>
                    <m:r>
                      <m:rPr>
                        <m:sty m:val="p"/>
                      </m:rPr>
                      <m:t>&lt;</m:t>
                    </m:r>
                    <m:r>
                      <m:rPr>
                        <m:sty m:val="p"/>
                      </m:rPr>
                      <m:t>0.001</m:t>
                    </m:r>
                  </m:e>
                </m:box>
              </m:oMath>
            </w:r>
          </w:p>
        </w:tc>
      </w:tr>
      <w:tr>
        <w:tc>
          <w:tcPr>
            <w:tcW w:type="dxa" w:w="1701"/>
          </w:tcPr>
          <w:p>
            <w:r>
              <w:rPr>
                <w:sz w:val="18"/>
              </w:rPr>
              <w:t>Model 2 (all confounders)</w:t>
            </w:r>
          </w:p>
        </w:tc>
        <w:tc>
          <w:tcPr>
            <w:tcW w:type="dxa" w:w="1701"/>
          </w:tcPr>
          <w:p>
            <w:r>
              <w:rPr>
                <w:sz w:val="18"/>
              </w:rPr>
              <w:t>32.6</w:t>
            </w:r>
          </w:p>
        </w:tc>
        <w:tc>
          <w:tcPr>
            <w:tcW w:type="dxa" w:w="1701"/>
          </w:tcPr>
          <w:p>
            <w:r>
              <w:rPr>
                <w:sz w:val="18"/>
              </w:rPr>
              <w:t>0.150</w:t>
            </w:r>
          </w:p>
        </w:tc>
        <w:tc>
          <w:tcPr>
            <w:tcW w:type="dxa" w:w="1701"/>
          </w:tcPr>
          <w:p>
            <w:r>
              <w:rPr>
                <w:sz w:val="18"/>
              </w:rPr>
              <m:oMath>
                <m:box>
                  <m:e>
                    <m:sSup>
                      <m:e>
                        <m:r>
                          <m:rPr>
                            <m:sty m:val="i"/>
                          </m:rPr>
                          <m:t>R</m:t>
                        </m:r>
                      </m:e>
                      <m:sup>
                        <m:r>
                          <m:rPr>
                            <m:sty m:val="p"/>
                          </m:rPr>
                          <m:t>2</m:t>
                        </m:r>
                      </m:sup>
                    </m:sSup>
                    <m:r>
                      <m:rPr>
                        <m:sty m:val="p"/>
                      </m:rPr>
                      <m:t>=</m:t>
                    </m:r>
                    <m:r>
                      <m:rPr>
                        <m:sty m:val="p"/>
                      </m:rPr>
                      <m:t>0.814</m:t>
                    </m:r>
                  </m:e>
                </m:box>
              </m:oMath>
            </w:r>
          </w:p>
        </w:tc>
        <w:tc>
          <w:tcPr>
            <w:tcW w:type="dxa" w:w="1701"/>
          </w:tcPr>
          <w:p/>
        </w:tc>
      </w:tr>
      <w:tr>
        <w:tc>
          <w:tcPr>
            <w:tcW w:type="dxa" w:w="1701"/>
          </w:tcPr>
          <w:p>
            <w:r>
              <w:rPr>
                <w:sz w:val="18"/>
              </w:rPr>
              <w:t>Model 3 (core neuro)</w:t>
            </w:r>
          </w:p>
        </w:tc>
        <w:tc>
          <w:tcPr>
            <w:tcW w:type="dxa" w:w="1701"/>
          </w:tcPr>
          <w:p>
            <w:r>
              <w:rPr>
                <w:sz w:val="18"/>
              </w:rPr>
              <w:t>15.7</w:t>
            </w:r>
          </w:p>
        </w:tc>
        <w:tc>
          <w:tcPr>
            <w:tcW w:type="dxa" w:w="1701"/>
          </w:tcPr>
          <w:p>
            <w:r>
              <w:rPr>
                <w:sz w:val="18"/>
              </w:rPr>
              <w:t>0.229</w:t>
            </w:r>
          </w:p>
        </w:tc>
        <w:tc>
          <w:tcPr>
            <w:tcW w:type="dxa" w:w="1701"/>
          </w:tcPr>
          <w:p>
            <w:r>
              <w:rPr>
                <w:sz w:val="18"/>
              </w:rPr>
              <m:oMath>
                <m:box>
                  <m:e>
                    <m:sSup>
                      <m:e>
                        <m:r>
                          <m:rPr>
                            <m:sty m:val="i"/>
                          </m:rPr>
                          <m:t>R</m:t>
                        </m:r>
                      </m:e>
                      <m:sup>
                        <m:r>
                          <m:rPr>
                            <m:sty m:val="p"/>
                          </m:rPr>
                          <m:t>2</m:t>
                        </m:r>
                      </m:sup>
                    </m:sSup>
                    <m:r>
                      <m:rPr>
                        <m:sty m:val="p"/>
                      </m:rPr>
                      <m:t>=</m:t>
                    </m:r>
                    <m:r>
                      <m:rPr>
                        <m:sty m:val="p"/>
                      </m:rPr>
                      <m:t>0.811</m:t>
                    </m:r>
                  </m:e>
                </m:box>
              </m:oMath>
            </w:r>
          </w:p>
        </w:tc>
        <w:tc>
          <w:tcPr>
            <w:tcW w:type="dxa" w:w="1701"/>
          </w:tcPr>
          <w:p/>
        </w:tc>
      </w:tr>
      <w:tr>
        <w:tc>
          <w:tcPr>
            <w:tcW w:type="dxa" w:w="1701"/>
          </w:tcPr>
          <w:p>
            <w:r>
              <w:rPr>
                <w:sz w:val="18"/>
              </w:rPr>
              <w:t>Model 4 (nerve blocks)</w:t>
            </w:r>
          </w:p>
        </w:tc>
        <w:tc>
          <w:tcPr>
            <w:tcW w:type="dxa" w:w="1701"/>
          </w:tcPr>
          <w:p>
            <w:r>
              <w:rPr>
                <w:sz w:val="18"/>
              </w:rPr>
              <w:t>0.1</w:t>
            </w:r>
          </w:p>
        </w:tc>
        <w:tc>
          <w:tcPr>
            <w:tcW w:type="dxa" w:w="1701"/>
          </w:tcPr>
          <w:p>
            <w:r>
              <w:rPr>
                <w:sz w:val="18"/>
              </w:rPr>
              <w:t>0.863</w:t>
            </w:r>
          </w:p>
        </w:tc>
        <w:tc>
          <w:tcPr>
            <w:tcW w:type="dxa" w:w="1701"/>
          </w:tcPr>
          <w:p>
            <w:r>
              <w:rPr>
                <w:sz w:val="18"/>
              </w:rPr>
              <m:oMath>
                <m:box>
                  <m:e>
                    <m:sSup>
                      <m:e>
                        <m:r>
                          <m:rPr>
                            <m:sty m:val="i"/>
                          </m:rPr>
                          <m:t>R</m:t>
                        </m:r>
                      </m:e>
                      <m:sup>
                        <m:r>
                          <m:rPr>
                            <m:sty m:val="p"/>
                          </m:rPr>
                          <m:t>2</m:t>
                        </m:r>
                      </m:sup>
                    </m:sSup>
                    <m:r>
                      <m:rPr>
                        <m:sty m:val="p"/>
                      </m:rPr>
                      <m:t>=</m:t>
                    </m:r>
                    <m:r>
                      <m:rPr>
                        <m:sty m:val="p"/>
                      </m:rPr>
                      <m:t>0.145</m:t>
                    </m:r>
                  </m:e>
                </m:box>
              </m:oMath>
            </w:r>
          </w:p>
        </w:tc>
        <w:tc>
          <w:tcPr>
            <w:tcW w:type="dxa" w:w="1701"/>
          </w:tcPr>
          <w:p/>
        </w:tc>
      </w:tr>
      <w:tr>
        <w:tc>
          <w:tcPr>
            <w:tcW w:type="dxa" w:w="1701"/>
          </w:tcPr>
          <w:p>
            <w:r>
              <w:rPr>
                <w:sz w:val="18"/>
              </w:rPr>
              <w:t>Model 5 (integrated)</w:t>
            </w:r>
          </w:p>
        </w:tc>
        <w:tc>
          <w:tcPr>
            <w:tcW w:type="dxa" w:w="1701"/>
          </w:tcPr>
          <w:p>
            <w:r>
              <w:rPr>
                <w:sz w:val="18"/>
              </w:rPr>
              <w:t>31.5</w:t>
            </w:r>
          </w:p>
        </w:tc>
        <w:tc>
          <w:tcPr>
            <w:tcW w:type="dxa" w:w="1701"/>
          </w:tcPr>
          <w:p>
            <w:r>
              <w:rPr>
                <w:sz w:val="18"/>
              </w:rPr>
              <w:t>0.149</w:t>
            </w:r>
          </w:p>
        </w:tc>
        <w:tc>
          <w:tcPr>
            <w:tcW w:type="dxa" w:w="1701"/>
          </w:tcPr>
          <w:p>
            <w:r>
              <w:rPr>
                <w:sz w:val="18"/>
              </w:rPr>
              <m:oMath>
                <m:box>
                  <m:e>
                    <m:sSup>
                      <m:e>
                        <m:r>
                          <m:rPr>
                            <m:sty m:val="i"/>
                          </m:rPr>
                          <m:t>R</m:t>
                        </m:r>
                      </m:e>
                      <m:sup>
                        <m:r>
                          <m:rPr>
                            <m:sty m:val="p"/>
                          </m:rPr>
                          <m:t>2</m:t>
                        </m:r>
                      </m:sup>
                    </m:sSup>
                    <m:r>
                      <m:rPr>
                        <m:sty m:val="p"/>
                      </m:rPr>
                      <m:t>=</m:t>
                    </m:r>
                    <m:r>
                      <m:rPr>
                        <m:sty m:val="p"/>
                      </m:rPr>
                      <m:t>0.832</m:t>
                    </m:r>
                  </m:e>
                </m:box>
              </m:oMath>
            </w:r>
          </w:p>
        </w:tc>
        <w:tc>
          <w:tcPr>
            <w:tcW w:type="dxa" w:w="1701"/>
          </w:tcPr>
          <w:p/>
        </w:tc>
      </w:tr>
    </w:tbl>
    <w:p/>
    <w:p>
      <w:r>
        <w:t xml:space="preserve">The adjusted neuropathic pain prescribing index showed a markedly different geographic pattern from the unadjusted data. The Tohoku mean shifted from markedly positive to a modest, nonsignificant excess (+12.4 vs -1.8; </w:t>
      </w:r>
      <w:r>
        <m:oMath>
          <m:box>
            <m:e>
              <m:r>
                <m:rPr>
                  <m:sty m:val="i"/>
                </m:rPr>
                <m:t>P</m:t>
              </m:r>
              <m:r>
                <m:rPr>
                  <m:sty m:val="p"/>
                </m:rPr>
                <m:t>=</m:t>
              </m:r>
              <m:r>
                <m:rPr>
                  <m:sty m:val="p"/>
                </m:rPr>
                <m:t>0.32</m:t>
              </m:r>
            </m:e>
          </m:box>
        </m:oMath>
      </w:r>
      <w:r>
        <w:t xml:space="preserve">; </w:t>
      </w:r>
      <w:r>
        <m:oMath>
          <m:box>
            <m:e>
              <m:r>
                <m:rPr>
                  <m:sty m:val="i"/>
                </m:rPr>
                <m:t>d</m:t>
              </m:r>
              <m:r>
                <m:rPr>
                  <m:sty m:val="p"/>
                </m:rPr>
                <m:t>=</m:t>
              </m:r>
              <m:r>
                <m:rPr>
                  <m:sty m:val="p"/>
                </m:rPr>
                <m:t>0.44</m:t>
              </m:r>
            </m:e>
          </m:box>
        </m:oMath>
      </w:r>
      <w:r>
        <w:t>; Figure 3). Chugoku emerged as having the highest adjusted index, while Tokai had the lowest.</w:t>
      </w:r>
    </w:p>
    <w:p>
      <w:pPr>
        <w:spacing w:before="240" w:after="240"/>
        <w:jc w:val="center"/>
      </w:pPr>
      <w:r>
        <w:rPr>
          <w:b/>
          <w:sz w:val="20"/>
        </w:rPr>
        <w:t xml:space="preserve">Figure 3. </w:t>
      </w:r>
      <w:r>
        <w:rPr>
          <w:sz w:val="20"/>
        </w:rPr>
        <w:t>Regional comparison of neuropathic pain prescribing: (a) unadjusted and (b) after confounder adjustment. Tohoku (red) shifts from the highest region to mid-range after adjustment. Error bars = SD.</w:t>
      </w:r>
    </w:p>
    <w:p>
      <w:pPr>
        <w:pStyle w:val="Heading2"/>
      </w:pPr>
      <w:r>
        <w:rPr>
          <w:rFonts w:ascii="Times New Roman" w:hAnsi="Times New Roman"/>
          <w:color w:val="000000"/>
        </w:rPr>
        <w:t>Phase 1–Phase 2 integration</w:t>
      </w:r>
    </w:p>
    <w:p>
      <w:r>
        <w:t>Acute perioperative prescribing correlated positively with unadjusted neuropathic pain prescribing (</w:t>
      </w:r>
      <w:r>
        <m:oMath>
          <m:box>
            <m:e>
              <m:r>
                <m:rPr>
                  <m:sty m:val="i"/>
                </m:rPr>
                <m:t>r</m:t>
              </m:r>
              <m:r>
                <m:rPr>
                  <m:sty m:val="p"/>
                </m:rPr>
                <m:t>=</m:t>
              </m:r>
              <m:r>
                <m:rPr>
                  <m:sty m:val="p"/>
                </m:rPr>
                <m:t>0.38</m:t>
              </m:r>
            </m:e>
          </m:box>
        </m:oMath>
      </w:r>
      <w:r>
        <w:t xml:space="preserve">, </w:t>
      </w:r>
      <w:r>
        <m:oMath>
          <m:box>
            <m:e>
              <m:r>
                <m:rPr>
                  <m:sty m:val="i"/>
                </m:rPr>
                <m:t>P</m:t>
              </m:r>
              <m:r>
                <m:rPr>
                  <m:sty m:val="p"/>
                </m:rPr>
                <m:t>=</m:t>
              </m:r>
              <m:r>
                <m:rPr>
                  <m:sty m:val="p"/>
                </m:rPr>
                <m:t>0.008</m:t>
              </m:r>
            </m:e>
          </m:box>
        </m:oMath>
      </w:r>
      <w:r>
        <w:t>). After confounder adjustment, this correlation was attenuated (</w:t>
      </w:r>
      <w:r>
        <m:oMath>
          <m:box>
            <m:e>
              <m:r>
                <m:rPr>
                  <m:sty m:val="i"/>
                </m:rPr>
                <m:t>r</m:t>
              </m:r>
              <m:r>
                <m:rPr>
                  <m:sty m:val="p"/>
                </m:rPr>
                <m:t>=</m:t>
              </m:r>
              <m:r>
                <m:rPr>
                  <m:sty m:val="p"/>
                </m:rPr>
                <m:t>0.28</m:t>
              </m:r>
            </m:e>
          </m:box>
        </m:oMath>
      </w:r>
      <w:r>
        <w:t xml:space="preserve">, </w:t>
      </w:r>
      <w:r>
        <m:oMath>
          <m:box>
            <m:e>
              <m:r>
                <m:rPr>
                  <m:sty m:val="i"/>
                </m:rPr>
                <m:t>P</m:t>
              </m:r>
              <m:r>
                <m:rPr>
                  <m:sty m:val="p"/>
                </m:rPr>
                <m:t>=</m:t>
              </m:r>
              <m:r>
                <m:rPr>
                  <m:sty m:val="p"/>
                </m:rPr>
                <m:t>0.052</m:t>
              </m:r>
            </m:e>
          </m:box>
        </m:oMath>
      </w:r>
      <w:r>
        <w:t>). In Model 5, the acute pain index remained independently associated with chronic neuropathic pain prescribing (</w:t>
      </w:r>
      <w:r>
        <m:oMath>
          <m:box>
            <m:e>
              <m:r>
                <m:rPr>
                  <m:sty m:val="i"/>
                </m:rPr>
                <m:t>β</m:t>
              </m:r>
              <m:r>
                <m:rPr>
                  <m:sty m:val="p"/>
                </m:rPr>
                <m:t>=</m:t>
              </m:r>
              <m:r>
                <m:rPr>
                  <m:sty m:val="p"/>
                </m:rPr>
                <m:t>1.90</m:t>
              </m:r>
            </m:e>
          </m:box>
        </m:oMath>
      </w:r>
      <w:r>
        <w:t xml:space="preserve">, </w:t>
      </w:r>
      <w:r>
        <m:oMath>
          <m:box>
            <m:e>
              <m:r>
                <m:rPr>
                  <m:sty m:val="i"/>
                </m:rPr>
                <m:t>P</m:t>
              </m:r>
              <m:r>
                <m:rPr>
                  <m:sty m:val="p"/>
                </m:rPr>
                <m:t>=</m:t>
              </m:r>
              <m:r>
                <m:rPr>
                  <m:sty m:val="p"/>
                </m:rPr>
                <m:t>0.044</m:t>
              </m:r>
            </m:e>
          </m:box>
        </m:oMath>
      </w:r>
      <w:r>
        <w:t>), while the Tohoku effect remained nonsignificant (</w:t>
      </w:r>
      <w:r>
        <m:oMath>
          <m:box>
            <m:e>
              <m:r>
                <m:rPr>
                  <m:sty m:val="i"/>
                </m:rPr>
                <m:t>β</m:t>
              </m:r>
              <m:r>
                <m:rPr>
                  <m:sty m:val="p"/>
                </m:rPr>
                <m:t>=</m:t>
              </m:r>
              <m:r>
                <m:rPr>
                  <m:sty m:val="p"/>
                </m:rPr>
                <m:t>31.5</m:t>
              </m:r>
            </m:e>
          </m:box>
        </m:oMath>
      </w:r>
      <w:r>
        <w:t xml:space="preserve">, </w:t>
      </w:r>
      <w:r>
        <m:oMath>
          <m:box>
            <m:e>
              <m:r>
                <m:rPr>
                  <m:sty m:val="i"/>
                </m:rPr>
                <m:t>P</m:t>
              </m:r>
              <m:r>
                <m:rPr>
                  <m:sty m:val="p"/>
                </m:rPr>
                <m:t>=</m:t>
              </m:r>
              <m:r>
                <m:rPr>
                  <m:sty m:val="p"/>
                </m:rPr>
                <m:t>0.15</m:t>
              </m:r>
            </m:e>
          </m:box>
        </m:oMath>
      </w:r>
      <w:r>
        <w:t>). After adjustment, the Tohoku effect was attenuated by 84%.</w:t>
      </w:r>
    </w:p>
    <w:p>
      <w:pPr>
        <w:pStyle w:val="Heading2"/>
      </w:pPr>
      <w:r>
        <w:rPr>
          <w:rFonts w:ascii="Times New Roman" w:hAnsi="Times New Roman"/>
          <w:color w:val="000000"/>
        </w:rPr>
        <w:t>Age-sex standardised claim ratios</w:t>
      </w:r>
    </w:p>
    <w:p>
      <w:r>
        <w:t>After indirect age-sex standardisation, inpatient analgesic SCR ranged from 63.6 to 147.9 (2.33-fold variation), confirming that the prescribing heterogeneity was not attributable to differences in prefectural age-sex composition. The geographic pattern differed from the crude index: Tohoku’s inpatient analgesic SCR (97.0) was below the non-Tohoku mean (101.0), whereas Hokkaido and Kyushu-Okinawa were the highest. Outpatient neuropathic pain drug SCR ranged from 74.7 to 152.0 (2.04-fold), and Tohoku remained elevated (mean 126.3 vs 96.3 for non-Tohoku), consistent with the crude analysis.</w:t>
      </w:r>
    </w:p>
    <w:p>
      <w:pPr>
        <w:pStyle w:val="Heading1"/>
      </w:pPr>
      <w:r>
        <w:rPr>
          <w:rFonts w:ascii="Times New Roman" w:hAnsi="Times New Roman"/>
          <w:color w:val="000000"/>
        </w:rPr>
        <w:t>Discussion</w:t>
      </w:r>
    </w:p>
    <w:p>
      <w:r>
        <w:t>To our knowledge, this is the first study to map perioperative and chronic pain-related prescribing across all 47 prefectures of Japan, using freely available NDB Open Data that capture virtually all reimbursed healthcare use. Taken together, the findings do not support the idea that a single cultural label reliably indicates analgesic prescribing. Three principal findings carry implications for clinicians and pharmaceutical policy.</w:t>
      </w:r>
    </w:p>
    <w:p>
      <w:pPr>
        <w:pStyle w:val="Heading2"/>
      </w:pPr>
      <w:r>
        <w:rPr>
          <w:rFonts w:ascii="Times New Roman" w:hAnsi="Times New Roman"/>
          <w:color w:val="000000"/>
        </w:rPr>
        <w:t>Within-country heterogeneity challenges cultural stereotypes</w:t>
      </w:r>
    </w:p>
    <w:p>
      <w:r>
        <w:t>Despite Japan’s well-documented cultural stoicism,</w:t>
      </w:r>
      <w:r>
        <w:rPr>
          <w:sz w:val="20"/>
          <w:vertAlign w:val="superscript"/>
        </w:rPr>
        <w:t>5,6</w:t>
      </w:r>
      <w:r>
        <w:t xml:space="preserve"> we found 1.97-fold variation in acute perioperative analgesic prescribing. This parallels Cohen and Nisbett’s finding that the US “culture of honour” produces regional behavioural differences within a single nation.</w:t>
      </w:r>
      <w:r>
        <w:rPr>
          <w:sz w:val="20"/>
          <w:vertAlign w:val="superscript"/>
        </w:rPr>
        <w:t>7</w:t>
      </w:r>
      <w:r>
        <w:t xml:space="preserve"> Japan’s pain culture is not monolithic; regional demographics, healthcare infrastructure, and clinical practices generate heterogeneity beyond what a single national label can capture. The crude Tohoku excess in perioperative analgesic prescribing was attenuated after age-sex standardisation, indicating that demographic structure contributes to regional differences. Thus the data do not warrant a simple cultural interpretation.</w:t>
      </w:r>
    </w:p>
    <w:p>
      <w:pPr>
        <w:pStyle w:val="Heading2"/>
      </w:pPr>
      <w:r>
        <w:rPr>
          <w:rFonts w:ascii="Times New Roman" w:hAnsi="Times New Roman"/>
          <w:color w:val="000000"/>
        </w:rPr>
        <w:t>Implications for clinical practice</w:t>
      </w:r>
    </w:p>
    <w:p>
      <w:r>
        <w:t>The 1.97-fold within-Japan variation is relevant for any physician who writes an analgesic prescription—not only pain specialists but also surgeons, internists, and general practitioners. Evidence suggests that cultural stereotypes influence clinician pain assessment and prescribing behaviour. Anderson et al showed that racial and ethnic minorities in the United States consistently receive less adequate pain management across acute, chronic, cancer, and palliative settings.</w:t>
      </w:r>
      <w:r>
        <w:rPr>
          <w:sz w:val="20"/>
          <w:vertAlign w:val="superscript"/>
        </w:rPr>
        <w:t>17</w:t>
      </w:r>
      <w:r>
        <w:t xml:space="preserve"> Campbell and Edwards identified that clinician expectations about a patient’s cultural pain behaviour can lead to systematic under- or over-treatment.</w:t>
      </w:r>
      <w:r>
        <w:rPr>
          <w:sz w:val="20"/>
          <w:vertAlign w:val="superscript"/>
        </w:rPr>
        <w:t>18</w:t>
      </w:r>
      <w:r>
        <w:t xml:space="preserve"> Rogger et al emphasised that cultural framing affects not only patient reporting but also how clinicians interpret and respond to pain cues.</w:t>
      </w:r>
      <w:r>
        <w:rPr>
          <w:sz w:val="20"/>
          <w:vertAlign w:val="superscript"/>
        </w:rPr>
        <w:t>2</w:t>
      </w:r>
    </w:p>
    <w:p>
      <w:r>
        <w:t>The broader lesson is that within-country heterogeneity in pain prescribing challenges the use of national cultural stereotypes in clinical practice—not only in Japan but in any country where cultural generalisations guide prescribing decisions. The nihonjinron discourse (theories of Japanese uniqueness) has long promoted the notion that Japanese people constitute a uniform population sharing a single set of behavioural norms.</w:t>
      </w:r>
      <w:r>
        <w:rPr>
          <w:sz w:val="20"/>
          <w:vertAlign w:val="superscript"/>
        </w:rPr>
        <w:t>19</w:t>
      </w:r>
      <w:r>
        <w:t xml:space="preserve"> Yet this “hegemony of homogeneity,” as Befu termed it, is an ideological construct rather than an empirical fact. Burgess showed that the “illusion” of homogeneous Japan has tangible consequences for social policy and public perception.</w:t>
      </w:r>
      <w:r>
        <w:rPr>
          <w:sz w:val="20"/>
          <w:vertAlign w:val="superscript"/>
        </w:rPr>
        <w:t>20</w:t>
      </w:r>
      <w:r>
        <w:t xml:space="preserve"> In the clinical context, the combination of two stereotypes—“Japanese are stoic” and “Japanese are homogeneous”—creates a doubly misleading assumption: that all Japanese patients will tolerate pain equally and require less analgesia. Our finding of 1.97-fold within-Japan variation does not support this assumption. If this degree of heterogeneity exists within a society widely regarded as culturally uniform, broad cultural labels are likely to be equally unreliable in other national pain contexts.</w:t>
      </w:r>
    </w:p>
    <w:p>
      <w:r>
        <w:t>Pain is an inherently subjective experience. The revised definition from the International Association for the Study of Pain (IASP) describes it as “an unpleasant sensory and emotional experience associated with, or resembling that associated with, actual or potential tissue damage”;</w:t>
      </w:r>
      <w:r>
        <w:rPr>
          <w:sz w:val="20"/>
          <w:vertAlign w:val="superscript"/>
        </w:rPr>
        <w:t>21</w:t>
      </w:r>
      <w:r>
        <w:t xml:space="preserve"> a cultural label cannot substitute for individual assessment. Put simply, these ecological data do not support using nationality or region as a basis for inferring analgesic requirement; prescribing decisions should be individualised.</w:t>
      </w:r>
    </w:p>
    <w:p>
      <w:pPr>
        <w:pStyle w:val="Heading2"/>
      </w:pPr>
      <w:r>
        <w:rPr>
          <w:rFonts w:ascii="Times New Roman" w:hAnsi="Times New Roman"/>
          <w:color w:val="000000"/>
        </w:rPr>
        <w:t>Policy implications</w:t>
      </w:r>
    </w:p>
    <w:p>
      <w:r>
        <w:t>These findings also have implications for pharmaceutical policy. Japan’s uniform national fee schedule and reimbursement rules are intended to reduce unwarranted variation, yet we observed nearly twofold variation in acute analgesic intensity and larger variation in neuropathic pain prescribing. Distinguishing warranted variation (driven by clinical need and comorbidity) from unwarranted variation (driven by prescriber habit or formulary access) is essential. Future policy could include routine feedback on within-region prescribing, adherence to perioperative analgesic protocols, and regional benchmarking to ensure equitable access to pain management. Japan’s NDB Open Data can support routine post-market surveillance of analgesic utilisation and help identify regions where apparently high or low prescribing warrants further investigation before policy interventions are designed.</w:t>
      </w:r>
    </w:p>
    <w:p>
      <w:pPr>
        <w:pStyle w:val="Heading2"/>
      </w:pPr>
      <w:r>
        <w:rPr>
          <w:rFonts w:ascii="Times New Roman" w:hAnsi="Times New Roman"/>
          <w:color w:val="000000"/>
        </w:rPr>
        <w:t>Confounders account for Tohoku’s apparent excess</w:t>
      </w:r>
    </w:p>
    <w:p>
      <w:r>
        <w:t xml:space="preserve">The most important methodological finding is that the large regional variation in neuropathic pain prescribing (unadjusted </w:t>
      </w:r>
      <w:r>
        <m:oMath>
          <m:box>
            <m:e>
              <m:r>
                <m:rPr>
                  <m:sty m:val="i"/>
                </m:rPr>
                <m:t>d</m:t>
              </m:r>
              <m:r>
                <m:rPr>
                  <m:sty m:val="p"/>
                </m:rPr>
                <m:t>=</m:t>
              </m:r>
              <m:r>
                <m:rPr>
                  <m:sty m:val="p"/>
                </m:rPr>
                <m:t>2.81</m:t>
              </m:r>
            </m:e>
          </m:box>
        </m:oMath>
      </w:r>
      <w:r>
        <w:t xml:space="preserve"> for Tohoku vs rest) was largely accounted for by comorbidity proxies. Diabetes drug prescribing alone correlated at </w:t>
      </w:r>
      <w:r>
        <m:oMath>
          <m:box>
            <m:e>
              <m:r>
                <m:rPr>
                  <m:sty m:val="i"/>
                </m:rPr>
                <m:t>r</m:t>
              </m:r>
              <m:r>
                <m:rPr>
                  <m:sty m:val="p"/>
                </m:rPr>
                <m:t>=</m:t>
              </m:r>
              <m:r>
                <m:rPr>
                  <m:sty m:val="p"/>
                </m:rPr>
                <m:t>0.87</m:t>
              </m:r>
            </m:e>
          </m:box>
        </m:oMath>
      </w:r>
      <w:r>
        <w:t xml:space="preserve"> with neuropathic pain prescribing, reflecting the known high burden of diabetic neuropathy treated with gabapentinoids. After adjustment, the Tohoku effect was attenuated by 84% and became nonsignificant. This has important implications for ecological pain research: studies using neuropathic pain drug prescribing as a population-level proxy for chronic neuropathic pain-related prescribing must account for comorbidity proxies. Without such adjustment, regional differences in diabetic neuropathy burden could be misinterpreted as differences in postsurgical neuropathic pain. The within-database adjustment demonstrated here—using disease-specific drug proxies from the same data source—provides a replicable approach for other countries with national claims databases.</w:t>
      </w:r>
    </w:p>
    <w:p>
      <w:pPr>
        <w:pStyle w:val="Heading2"/>
      </w:pPr>
      <w:r>
        <w:rPr>
          <w:rFonts w:ascii="Times New Roman" w:hAnsi="Times New Roman"/>
          <w:color w:val="000000"/>
        </w:rPr>
        <w:t>A population-level acute–chronic pain continuum</w:t>
      </w:r>
    </w:p>
    <w:p>
      <w:r>
        <w:t>The positive correlation between Phase 1 (acute) and Phase 2 (chronic, adjusted) indices (</w:t>
      </w:r>
      <w:r>
        <m:oMath>
          <m:box>
            <m:e>
              <m:r>
                <m:rPr>
                  <m:sty m:val="i"/>
                </m:rPr>
                <m:t>r</m:t>
              </m:r>
              <m:r>
                <m:rPr>
                  <m:sty m:val="p"/>
                </m:rPr>
                <m:t>=</m:t>
              </m:r>
              <m:r>
                <m:rPr>
                  <m:sty m:val="p"/>
                </m:rPr>
                <m:t>0.28</m:t>
              </m:r>
            </m:e>
          </m:box>
        </m:oMath>
      </w:r>
      <w:r>
        <w:t xml:space="preserve">, </w:t>
      </w:r>
      <w:r>
        <m:oMath>
          <m:box>
            <m:e>
              <m:r>
                <m:rPr>
                  <m:sty m:val="i"/>
                </m:rPr>
                <m:t>P</m:t>
              </m:r>
              <m:r>
                <m:rPr>
                  <m:sty m:val="p"/>
                </m:rPr>
                <m:t>=</m:t>
              </m:r>
              <m:r>
                <m:rPr>
                  <m:sty m:val="p"/>
                </m:rPr>
                <m:t>0.052</m:t>
              </m:r>
            </m:e>
          </m:box>
        </m:oMath>
      </w:r>
      <w:r>
        <w:t>) suggests an association between regional acute pain management intensity and chronic pain-related prescribing recorded in the same period. While the cross-sectional design cannot determine temporal order, this ecological association is consistent with individual-level evidence that greater acute postoperative pain is associated with a higher risk of chronic postsurgical pain (CPSP).</w:t>
      </w:r>
      <w:r>
        <w:rPr>
          <w:sz w:val="20"/>
          <w:vertAlign w:val="superscript"/>
        </w:rPr>
        <w:t>22</w:t>
      </w:r>
      <w:r>
        <w:t xml:space="preserve"> The contribution of the acute pain index in Model 5 (</w:t>
      </w:r>
      <w:r>
        <m:oMath>
          <m:box>
            <m:e>
              <m:r>
                <m:rPr>
                  <m:sty m:val="i"/>
                </m:rPr>
                <m:t>β</m:t>
              </m:r>
              <m:r>
                <m:rPr>
                  <m:sty m:val="p"/>
                </m:rPr>
                <m:t>=</m:t>
              </m:r>
              <m:r>
                <m:rPr>
                  <m:sty m:val="p"/>
                </m:rPr>
                <m:t>1.90</m:t>
              </m:r>
            </m:e>
          </m:box>
        </m:oMath>
      </w:r>
      <w:r>
        <w:t xml:space="preserve">, </w:t>
      </w:r>
      <w:r>
        <m:oMath>
          <m:box>
            <m:e>
              <m:r>
                <m:rPr>
                  <m:sty m:val="i"/>
                </m:rPr>
                <m:t>P</m:t>
              </m:r>
              <m:r>
                <m:rPr>
                  <m:sty m:val="p"/>
                </m:rPr>
                <m:t>=</m:t>
              </m:r>
              <m:r>
                <m:rPr>
                  <m:sty m:val="p"/>
                </m:rPr>
                <m:t>0.044</m:t>
              </m:r>
            </m:e>
          </m:box>
        </m:oMath>
      </w:r>
      <w:r>
        <w:t>), after adjustment for confounders, raises the possibility that acute pain management patterns are statistically linked to observed chronic prescribing, but it does not demonstrate a causal pathway.</w:t>
      </w:r>
    </w:p>
    <w:p>
      <w:pPr>
        <w:pStyle w:val="Heading2"/>
      </w:pPr>
      <w:r>
        <w:rPr>
          <w:rFonts w:ascii="Times New Roman" w:hAnsi="Times New Roman"/>
          <w:color w:val="000000"/>
        </w:rPr>
        <w:t>Strengths and limitations</w:t>
      </w:r>
    </w:p>
    <w:p>
      <w:r>
        <w:t>Strengths of this study include the use of population-complete data covering all insurance-reimbursed healthcare in Japan, the novel integration of acute and chronic pain proxies within a single analytical framework, the transparent confounder-adjustment methodology, and the use of a perioperative design that reduces the role of outpatient healthcare access as a confounder (all Phase 1 patients are inpatients by definition).</w:t>
      </w:r>
    </w:p>
    <w:p>
      <w:r>
        <w:t>The main limitations are inherent to the ecological design. The unit of analysis is the prefecture, not the individual patient; ecological correlations may not reflect individual-level associations (ecological fallacy). NDB Open Data lack diagnosis codes, so the neuropathic pain drug proxy captures all indications, not CPSP specifically. Unmeasured confounders such as surgical case mix, physician density, and regional prescribing culture may contribute to residual variation.</w:t>
      </w:r>
    </w:p>
    <w:p>
      <w:pPr>
        <w:pStyle w:val="Heading1"/>
      </w:pPr>
      <w:r>
        <w:rPr>
          <w:rFonts w:ascii="Times New Roman" w:hAnsi="Times New Roman"/>
          <w:color w:val="000000"/>
        </w:rPr>
        <w:t>Conclusion</w:t>
      </w:r>
    </w:p>
    <w:p>
      <w:r>
        <w:t>Cultural labels alone are not a reliable guide to analgesic prescribing. Crude acute perioperative prescribing varied 1.97-fold across prefectures, but the unadjusted Tohoku excess was attenuated after age-sex standardisation and adjustment for comorbidity proxies. Outpatient neuropathic pain prescribing showed even larger variation (2.73-fold unadjusted, 2.04-fold after age-sex standardisation), much of which was accounted for by confounding disease burden. Clinicians and policymakers should avoid assuming that regional or national identity is a reliable indicator of analgesic requirement; individualised pain assessment remains essential.</w:t>
      </w:r>
    </w:p>
    <w:p/>
    <w:p>
      <w:pPr>
        <w:pStyle w:val="Heading1"/>
      </w:pPr>
      <w:r>
        <w:rPr>
          <w:rFonts w:ascii="Times New Roman" w:hAnsi="Times New Roman"/>
          <w:color w:val="000000"/>
        </w:rPr>
        <w:t>Contributors</w:t>
      </w:r>
    </w:p>
    <w:p>
      <w:r>
        <w:t>TO conceived and designed the study, obtained and verified the underlying data, performed all analyses, created visualisations, and wrote the manuscript. TO had full access to all data and is the guarantor.</w:t>
      </w:r>
    </w:p>
    <w:p/>
    <w:p>
      <w:pPr>
        <w:pStyle w:val="Heading1"/>
      </w:pPr>
      <w:r>
        <w:rPr>
          <w:rFonts w:ascii="Times New Roman" w:hAnsi="Times New Roman"/>
          <w:color w:val="000000"/>
        </w:rPr>
        <w:t>Funding</w:t>
      </w:r>
    </w:p>
    <w:p>
      <w:r>
        <w:t>None.</w:t>
      </w:r>
    </w:p>
    <w:p/>
    <w:p>
      <w:pPr>
        <w:pStyle w:val="Heading1"/>
      </w:pPr>
      <w:r>
        <w:rPr>
          <w:rFonts w:ascii="Times New Roman" w:hAnsi="Times New Roman"/>
          <w:color w:val="000000"/>
        </w:rPr>
        <w:t>Disclosure statement</w:t>
      </w:r>
    </w:p>
    <w:p>
      <w:r>
        <w:t>The author reports no conflicts of interest.</w:t>
      </w:r>
    </w:p>
    <w:p/>
    <w:p>
      <w:pPr>
        <w:pStyle w:val="Heading1"/>
      </w:pPr>
      <w:r>
        <w:rPr>
          <w:rFonts w:ascii="Times New Roman" w:hAnsi="Times New Roman"/>
          <w:color w:val="000000"/>
        </w:rPr>
        <w:t>Ethics approval</w:t>
      </w:r>
    </w:p>
    <w:p>
      <w:r>
        <w:t>This study used only publicly available aggregate data from the NDB Open Data. Ethical approval was not required under Japan’s Ethical Guidelines for Medical and Biological Research Involving Human Subjects.</w:t>
      </w:r>
    </w:p>
    <w:p/>
    <w:p>
      <w:pPr>
        <w:pStyle w:val="Heading1"/>
      </w:pPr>
      <w:r>
        <w:rPr>
          <w:rFonts w:ascii="Times New Roman" w:hAnsi="Times New Roman"/>
          <w:color w:val="000000"/>
        </w:rPr>
        <w:t>Data availability statement</w:t>
      </w:r>
    </w:p>
    <w:p>
      <w:r>
        <w:t>The NDB Open Data used in this study are publicly available from the Ministry of Health, Labour and Welfare website (https://www.mhlw.go.jp/stf/seisakunitsuite/bunya/0000177221_00016.html). Analysis code is available at https://github.com/bougtoir/ndb-pain-regional-variation-japan.</w:t>
      </w:r>
    </w:p>
    <w:p/>
    <w:p>
      <w:pPr>
        <w:pStyle w:val="Heading1"/>
      </w:pPr>
      <w:r>
        <w:rPr>
          <w:rFonts w:ascii="Times New Roman" w:hAnsi="Times New Roman"/>
          <w:color w:val="000000"/>
        </w:rPr>
        <w:t>Acknowledgements</w:t>
      </w:r>
    </w:p>
    <w:p>
      <w:r>
        <w:t>The author thanks the Ministry of Health, Labour and Welfare for making the NDB Open Data publicly available. Parts of data processing and manuscript preparation were assisted by generative AI (Claude, Anthropic). The author takes full responsibility for the accuracy and content of the manuscript.</w:t>
      </w:r>
    </w:p>
    <w:p/>
    <w:p>
      <w:pPr>
        <w:pStyle w:val="Heading1"/>
      </w:pPr>
      <w:r>
        <w:rPr>
          <w:rFonts w:ascii="Times New Roman" w:hAnsi="Times New Roman"/>
          <w:color w:val="000000"/>
        </w:rPr>
        <w:t>References</w:t>
      </w:r>
    </w:p>
    <w:p>
      <w:r>
        <w:rPr>
          <w:b/>
        </w:rPr>
        <w:t xml:space="preserve">1 </w:t>
      </w:r>
      <w:r>
        <w:t>Callister LC. Cultural influences on pain perceptions and behaviors. Home Health Care Manag Pract 2003;15:207–11. doi:10.1177/1084822302250687</w:t>
      </w:r>
    </w:p>
    <w:p>
      <w:r>
        <w:rPr>
          <w:b/>
        </w:rPr>
        <w:t xml:space="preserve">2 </w:t>
      </w:r>
      <w:r>
        <w:t>Rogger R, Bello C, Romero CS, et al. Cultural framing and the impact on acute pain and pain services. Curr Pain Headache Rep 2023;27:429–36. doi:10.1007/s11916-023-01125-2</w:t>
      </w:r>
    </w:p>
    <w:p>
      <w:r>
        <w:rPr>
          <w:b/>
        </w:rPr>
        <w:t xml:space="preserve">3 </w:t>
      </w:r>
      <w:r>
        <w:t>Zborowski M. People in Pain. San Francisco: Jossey-Bass, 1969.</w:t>
      </w:r>
    </w:p>
    <w:p>
      <w:r>
        <w:rPr>
          <w:b/>
        </w:rPr>
        <w:t xml:space="preserve">4 </w:t>
      </w:r>
      <w:r>
        <w:t>Okolo CA, Olorunsogo T, Babawarun O. Cultural variability in pain perception: a review of cross-cultural studies. Int J Sci Res Arch 2024;11:2550–6. doi:10.30574/ijsra.2024.11.1.0339</w:t>
      </w:r>
    </w:p>
    <w:p>
      <w:r>
        <w:rPr>
          <w:b/>
        </w:rPr>
        <w:t xml:space="preserve">5 </w:t>
      </w:r>
      <w:r>
        <w:t>Hobara M. Beliefs about appropriate pain behavior: cross-cultural and sex differences between Japanese and Euro-Americans. Eur J Pain 2005;9:389–93. doi:10.1016/j.ejpain.2004.09.006</w:t>
      </w:r>
    </w:p>
    <w:p>
      <w:r>
        <w:rPr>
          <w:b/>
        </w:rPr>
        <w:t xml:space="preserve">6 </w:t>
      </w:r>
      <w:r>
        <w:t>Feng Y, Herdman M, van Nooten F, et al. An exploration of differences between Japan and two European countries in the self-reporting and valuation of pain and discomfort on the EQ-5D. Qual Life Res 2017;26:2067–78. doi:10.1007/s11136-017-1541-5</w:t>
      </w:r>
    </w:p>
    <w:p>
      <w:r>
        <w:rPr>
          <w:b/>
        </w:rPr>
        <w:t xml:space="preserve">7 </w:t>
      </w:r>
      <w:r>
        <w:t>Cohen D, Nisbett RE, Bowdle BF, et al. Insult, aggression, and the southern culture of honor: an "experimental ethnography." J Pers Soc Psychol 1996;70:945–60. doi:10.1037/0022-3514.70.5.945</w:t>
      </w:r>
    </w:p>
    <w:p>
      <w:r>
        <w:rPr>
          <w:b/>
        </w:rPr>
        <w:t xml:space="preserve">8 </w:t>
      </w:r>
      <w:r>
        <w:t>Kumagai S. Media representations reproducing images of Tohoku: the Tohoku reconstruction corner in "Secret Kenmin SHOW." Kotoba 2020;41:21–38. doi:10.20741/kotoba.41.0_21 [in Japanese]</w:t>
      </w:r>
    </w:p>
    <w:p>
      <w:r>
        <w:rPr>
          <w:b/>
        </w:rPr>
        <w:t xml:space="preserve">9 </w:t>
      </w:r>
      <w:r>
        <w:t>Takeda K, Yarimizu K. Regional differences in the pain expression uzuku. NINJAL Research Papers 2016;10:221–43. doi:10.15084/00000816 [in Japanese]</w:t>
      </w:r>
    </w:p>
    <w:p>
      <w:r>
        <w:rPr>
          <w:b/>
        </w:rPr>
        <w:t xml:space="preserve">10 </w:t>
      </w:r>
      <w:r>
        <w:t>Pfizer Japan Inc. 47-prefecture survey on chronic pain (2012 vs 2017 comparison) [in Japanese]. Research Research, 2017. https://www.lisalisa50.com/research20171014_2.html (accessed 21 Aug 2026).</w:t>
      </w:r>
    </w:p>
    <w:p>
      <w:r>
        <w:rPr>
          <w:b/>
        </w:rPr>
        <w:t xml:space="preserve">11 </w:t>
      </w:r>
      <w:r>
        <w:t>Ministry of Health, Labour and Welfare. NDB Open Data, 10th edition. https://www.mhlw.go.jp/stf/seisakunitsuite/bunya/0000177221_00016.html (accessed 15 Jan 2025).</w:t>
      </w:r>
    </w:p>
    <w:p>
      <w:r>
        <w:rPr>
          <w:b/>
        </w:rPr>
        <w:t xml:space="preserve">12 </w:t>
      </w:r>
      <w:r>
        <w:t>Wakaizumi K, Tanaka C, Shinohara Y, et al. Geographical variation in high-impact chronic pain and psychological associations at the regional level: a multilevel analysis of a large-scale internet-based cross-sectional survey. Front Public Health 2024;12:1482177. doi:10.3389/fpubh.2024.1482177</w:t>
      </w:r>
    </w:p>
    <w:p>
      <w:r>
        <w:rPr>
          <w:b/>
        </w:rPr>
        <w:t xml:space="preserve">13 </w:t>
      </w:r>
      <w:r>
        <w:t>Matsuoka Y, Morishima T, Sato A, et al. Population-based claims study of regional and hospital function differences in opioid prescribing for cancer patients who died in hospital in Japan. Jpn J Clin Oncol 2025;55:hyaf149. doi:10.1093/jjco/hyaf149</w:t>
      </w:r>
    </w:p>
    <w:p>
      <w:r>
        <w:rPr>
          <w:b/>
        </w:rPr>
        <w:t xml:space="preserve">14 </w:t>
      </w:r>
      <w:r>
        <w:t>Taira K, Mori T, Ishimaru M, et al. Regional inequality in dental care utilisation in Japan: an ecological study using the National Database of Health Insurance Claims. Lancet Reg Health West Pac 2021;12:100170. doi:10.1016/j.lanwpc.2021.100170</w:t>
      </w:r>
    </w:p>
    <w:p>
      <w:r>
        <w:rPr>
          <w:b/>
        </w:rPr>
        <w:t xml:space="preserve">15 </w:t>
      </w:r>
      <w:r>
        <w:t>von Elm E, Altman DG, Egger M, et al. The Strengthening the Reporting of Observational Studies in Epidemiology (STROBE) statement: guidelines for reporting observational studies. Lancet 2007;370:1453–7. doi:10.1016/S0140-6736(07)61602-X</w:t>
      </w:r>
    </w:p>
    <w:p>
      <w:r>
        <w:rPr>
          <w:b/>
        </w:rPr>
        <w:t xml:space="preserve">16 </w:t>
      </w:r>
      <w:r>
        <w:t>Benchimol EI, Smeeth L, Guttmann A, et al. The REporting of studies Conducted using Observational Routinely-collected health Data (RECORD) statement. PLoS Med 2015;12:e1001885. doi:10.1371/journal.pmed.1001885</w:t>
      </w:r>
    </w:p>
    <w:p>
      <w:r>
        <w:rPr>
          <w:b/>
        </w:rPr>
        <w:t xml:space="preserve">17 </w:t>
      </w:r>
      <w:r>
        <w:t>Anderson KO, Green CR, Payne R. Racial and ethnic disparities in pain: causes and consequences of unequal care. J Pain 2009;10:1187–204. doi:10.1016/j.jpain.2009.10.002</w:t>
      </w:r>
    </w:p>
    <w:p>
      <w:r>
        <w:rPr>
          <w:b/>
        </w:rPr>
        <w:t xml:space="preserve">18 </w:t>
      </w:r>
      <w:r>
        <w:t>Campbell CM, Edwards RR. Ethnic differences in pain and pain management. Pain Manag 2012;2:219–30. doi:10.2217/pmt.12.7</w:t>
      </w:r>
    </w:p>
    <w:p>
      <w:r>
        <w:rPr>
          <w:b/>
        </w:rPr>
        <w:t xml:space="preserve">19 </w:t>
      </w:r>
      <w:r>
        <w:t>Befu H. Hegemony of Homogeneity: An Anthropological Analysis of Nihonjinron. Melbourne: Trans Pacific Press, 2001.</w:t>
      </w:r>
    </w:p>
    <w:p>
      <w:r>
        <w:rPr>
          <w:b/>
        </w:rPr>
        <w:t xml:space="preserve">20 </w:t>
      </w:r>
      <w:r>
        <w:t>Burgess C. The "illusion" of homogeneous Japan and national character: discourse as a tool to transcend the "myth" vs. "reality" binary. Asia Pac J 2010;8(9):1–22. doi:10.1017/s1557466010009381</w:t>
      </w:r>
    </w:p>
    <w:p>
      <w:r>
        <w:rPr>
          <w:b/>
        </w:rPr>
        <w:t xml:space="preserve">21 </w:t>
      </w:r>
      <w:r>
        <w:t>Raja SN, Carr DB, Cohen M, et al. The revised International Association for the Study of Pain definition of pain: concepts, challenges, and compromises. Pain 2020;161:1976–82. doi:10.1097/j.pain.0000000000001939</w:t>
      </w:r>
    </w:p>
    <w:p>
      <w:r>
        <w:rPr>
          <w:b/>
        </w:rPr>
        <w:t xml:space="preserve">22 </w:t>
      </w:r>
      <w:r>
        <w:t>Kehlet H, Jensen TS, Woolf CJ. Persistent postsurgical pain: risk factors and prevention. Lancet 2006;367:1618–25. doi:10.1016/S0140-6736(06)68700-X</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