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w:t>
        <w:br/>
        <w:t>From Maritime Isolation to Technological Access Denial</w:t>
        <w:br/>
        <w:t>in the Long Run of History</w:t>
      </w:r>
    </w:p>
    <w:p/>
    <w:p>
      <w:pPr>
        <w:jc w:val="center"/>
      </w:pPr>
      <w:r>
        <w:rPr>
          <w:sz w:val="22"/>
        </w:rPr>
        <w:t>[Author Name]</w:t>
        <w:br/>
        <w:t>[Affiliation]</w:t>
        <w:br/>
        <w:t>[Email]</w:t>
      </w:r>
    </w:p>
    <w:p/>
    <w:p/>
    <w:p>
      <w:pPr>
        <w:pStyle w:val="Heading2"/>
      </w:pPr>
      <w:r>
        <w:t>Abstract</w:t>
      </w:r>
    </w:p>
    <w:p>
      <w:r>
        <w:rPr>
          <w:sz w:val="22"/>
        </w:rPr>
        <w:t>Why do some states collapse while others endure? This exploratory study proposes that structural exclusion from the dominant technological network of an era—not merely deliberate trade closure—is a candidate correlate of state vulnerability, with technology-flow disruption proposed as one possible explanation for divergence between connected and excluded polities. Using a comparative dataset of 96 historical polities spanning antiquity to the present, assembled as an AI-assisted exploratory dataset rather than a public-data measurement dataset, we distinguish between policy-driven isolation (e.g., Ming haijin, Tokugawa sakoku) and what we term 'technical network exclusion': involuntary disconnection from prevailing exchange networks due to geographic or technological constraints. Policy-based closure can reduce without eliminating technology transfer (e.g., rangaku via Dejima under sakoku), whereas technical exclusion is coded as more severe involuntary disconnection. Across a post hoc reclassification of 7 technically excluded polities, the one-sided Fisher exact p-value for closure and conquest changes from 0.187 to 0.020; all 7 were coded as eventually conquered. Within these exploratory codings, multivariate logistic regression shows the largest conditional associations for external threat and institutional quality, while the stock–flow odds ratio (OR = 1.774) remains stable across all scenarios. We present the proposed mechanism—technology flow disruption leading to an accumulating civilization-level gap—as a hypothesis beyond maritime isolation. As the dominant network shifts from sea lanes to semiconductors, artificial intelligence, and advanced robotics, states structurally excluded from these technological platforms may face analogous vulnerabilities.</w:t>
      </w:r>
    </w:p>
    <w:p>
      <w:r>
        <w:rPr>
          <w:b/>
        </w:rPr>
        <w:t xml:space="preserve">Keywords: </w:t>
      </w:r>
      <w:r>
        <w:t>network exclusion; economic history; technology flow disruption; state collapse; technological access; sensitivity analysis</w:t>
      </w:r>
    </w:p>
    <w:p>
      <w:r>
        <w:rPr>
          <w:b/>
        </w:rPr>
        <w:t xml:space="preserve">JEL Classification: </w:t>
      </w:r>
      <w:r>
        <w:t>N40, N70, F50, O33, C25</w:t>
      </w:r>
    </w:p>
    <w:p>
      <w:r>
        <w:br w:type="page"/>
      </w:r>
    </w:p>
    <w:p>
      <w:pPr>
        <w:pStyle w:val="Heading1"/>
      </w:pPr>
      <w:r>
        <w:t>1  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examine whether disconnection from the dominant exchange network is associated with institutional quality and technological capacity—the factors that the internal-dynamics literature identifies as proximate explanations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pattern would be consistent with disconnection, rather than the policy decision alone, as a candidate explanation.</w:t>
      </w:r>
    </w:p>
    <w:p>
      <w:r>
        <w:t>We hypothesize that technology flow is a relevant channel.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is hypothesized to restrict a broader set of channels. A possible result is a cumulative technology gap: over generations, excluded polities may fall behind the technological frontier, and when contact with a more advanced civilization eventually occurred—often through military confrontation—the gap may have increased vulnerability. This is, in essence, a quantitative restatement of a long-recognized pattern: when civilizations at markedly different technological levels collide, the less advanced one may face elevated vulnerability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post hoc sensitivity analysis in which 7 technically excluded polities are reclassified from 'no closure' to 'technical network exclusion,' testing whether the closure–conquest association is an artifact of how isolation is defined.</w:t>
      </w:r>
    </w:p>
    <w:p>
      <w:r>
        <w:t>The reclassification changes the one-sided Fisher exact p-value from 0.187 at baseline to 0.020, while the core stock–flow odds ratio remains unchanged at 1.774. All 7 technically excluded polities were coded as eventually conquered. This exploratory result is consistent with the hypothesis that what matters for state survival is not whether closure was chosen but whether the polity was connected to the era's critical exchange platform.</w:t>
      </w:r>
    </w:p>
    <w:p>
      <w:r>
        <w:t>A forward-looking hypothesis follows. If the proposed pathway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2 describes the dataset and classification framework. Section 3 presents the analytical methods. Section 4 reports the baseline results. Section 5 details the sensitivity analysis. Section 6 discusses implications, including the extension to technological access exclusion, and Section 7 concludes.</w:t>
      </w:r>
    </w:p>
    <w:p>
      <w:pPr>
        <w:pStyle w:val="Heading1"/>
      </w:pPr>
      <w:r>
        <w:t>2  Data and Classification</w:t>
      </w:r>
    </w:p>
    <w:p>
      <w:pPr>
        <w:pStyle w:val="Heading2"/>
      </w:pPr>
      <w:r>
        <w:t>2.1  Dataset construction</w:t>
      </w:r>
    </w:p>
    <w:p>
      <w:r>
        <w:t>The dataset comprises 96 manually constructed polity–period cases assembled with AI assistance. The author supplied the conceptual research question but no record-level values; the cases and original values were assigned during the AI-assisted assembly on 13 May 2026 rather than extracted from a public dataset. The variables predominant resource base, stock index (0–1), trade openness (0–1), geographic barrier, external threat, relative population, technological position, and institutional quality are therefore exploratory AI-assisted judgments rather than observed measurements or validated expert ratings. Closure type, historical outcome, and external-patron status are historically anchored classifications. The complete editable dataset is provided in Supplementary Table S1 and the public code permits readers to replace any coding and rerun every analysis.</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3.1).</w:t>
      </w:r>
    </w:p>
    <w:p>
      <w:pPr>
        <w:pStyle w:val="Heading2"/>
      </w:pPr>
      <w:r>
        <w:t>2.2  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a similar outcome pattern under structural and deliberate exclusion would be consistent with disconnection itself, rather than the decision alone, as the relevant hypothesis.</w:t>
      </w:r>
    </w:p>
    <w:p>
      <w:pPr>
        <w:pStyle w:val="Heading2"/>
      </w:pPr>
      <w:r>
        <w:t>2.3  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7 reclassification candidates in two tiers.</w:t>
      </w:r>
    </w:p>
    <w:p>
      <w:r>
        <w:t>The candidate set was developed after the initial dataset analysis and was neither prespecified nor coded with outcomes blinded. It is therefore evaluated only as a post hoc sensitivity analysis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Excluded from Mediterranean network; Silk Road provided limited overland contact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Excluded from Atlantic/Mediterranean networks until Portuguese contact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excluded from dominant exchange networks unlike neighbouring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only; excluded from dominant exchange networks.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Landlocked; Silk Road overland only. Excluded from dominant Mediterranean and Indian Ocean networks.</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excluded from established Indian Ocean and Mediterranean networks.</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excluded from regular international exchange networks until British arrival.</w:t>
            </w:r>
          </w:p>
        </w:tc>
      </w:tr>
    </w:tbl>
    <w:p>
      <w:r>
        <w:rPr>
          <w:b/>
          <w:sz w:val="20"/>
        </w:rPr>
        <w:t xml:space="preserve">Table 1  </w:t>
      </w:r>
      <w:r>
        <w:rPr>
          <w:sz w:val="20"/>
        </w:rPr>
        <w:t>Technical network exclusion reclassification candidates. 'Strong' candidates were structurally excluded from the dominant exchange network of their era; 'Moderate' candidates had limited or uncertain connectivity.</w:t>
      </w:r>
    </w:p>
    <w:p>
      <w:pPr>
        <w:pStyle w:val="Heading1"/>
      </w:pPr>
      <w:r>
        <w:t>3  Methods</w:t>
      </w:r>
    </w:p>
    <w:p>
      <w:pPr>
        <w:pStyle w:val="Heading2"/>
      </w:pPr>
      <w:r>
        <w:t>3.1  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 overtaken' scenario, all 18 are coded as conquered (yielding 64 conquered, 32 survived); in the 'disrupted → survived' scenario, they are coded as having survived (yielding 46 conquered, 50 survived). Crossed with three closure reclassification levels (baseline, +5 strong candidates, +7 all candidates), this produces 3 × 2 = 6 scenarios. All results are reported across all six to show sensitivity to these coding choices.</w:t>
      </w:r>
    </w:p>
    <w:p>
      <w:pPr>
        <w:pStyle w:val="Heading2"/>
      </w:pPr>
      <w:r>
        <w:t>3.2  Stock–flow association</w:t>
      </w:r>
    </w:p>
    <w:p>
      <w:r>
        <w:t>We construct 2 × 2 tables crossing the predominant resource base (stock vs. flow) against the binarized outcome (overtaken vs. survived) and compute the odds ratio (OR), phi coefficient (φ), one-sided Fisher's exact test, and chi-squared test with Yates correction. Effect sizes are interpreted using Cohen's benchmarks for φ.</w:t>
      </w:r>
    </w:p>
    <w:p>
      <w:pPr>
        <w:pStyle w:val="Heading2"/>
      </w:pPr>
      <w:r>
        <w:t>3.3  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3.4  Multivariate logistic regression</w:t>
      </w:r>
    </w:p>
    <w:p>
      <w:r>
        <w:t>To describe the closure–conquest association after covariate adjustment,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3.5  Bootstrap uncertainty assessment</w:t>
      </w:r>
    </w:p>
    <w:p>
      <w:r>
        <w:t>We assess uncertainty in the stock–flow OR using a nonparametric bootstrap (5,000 resamples, percentile method, seed = 42). This provides a distribution-free confidence interval that does not depend on asymptotic normality—a relevant consideration given the modest sample size.</w:t>
      </w:r>
    </w:p>
    <w:p>
      <w:pPr>
        <w:pStyle w:val="Heading1"/>
      </w:pPr>
      <w:r>
        <w:t>4  Results</w:t>
      </w:r>
    </w:p>
    <w:p>
      <w:pPr>
        <w:pStyle w:val="Heading2"/>
      </w:pPr>
      <w:r>
        <w:t>4.1  Baseline stock–flow association</w:t>
      </w:r>
    </w:p>
    <w:p>
      <w:r>
        <w:t>Under the disrupted → overtaken assignment, the stock–flow 2 × 2 table yields OR = 1.774, φ = 0.133, Fisher's exact p = 0.1390 (one-sided). Stock-oriented polities have a conquest rate of 73.3%, compared with 60.8% for flow-oriented polities—a small-to-medium effect by Cohen's benchmarks. Under the disrupted →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4.2  Maritime closure and conquest</w:t>
      </w:r>
    </w:p>
    <w:p>
      <w:r>
        <w:t>Table 2 reports the closure–conquest association across all six scenarios. At baseline under the disrupted → overtaken assignment, polities with some form of network closure have a conquest rate of 80.0%, compared with 64.2% for open polities (Fisher p = 0.1873, not significant). Reclassifying 5 strong candidates as technically excluded raises the closure-group conquest rate to 85.0% (Fisher p = 0.0413). Including all 7 candidates yields a conquest rate of 86.4%, Fisher p = 0.0204. The progressive change is reported as a sensitivity pattern under the alternative classification, not as independent validation that the candidates belong in the closure group.</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t>Figure 1 compares closure and open-group conquest rates across the six scenarios.</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network closure vs. open polities across three reclassification scenarios under both disrupted assignments.</w:t>
      </w:r>
    </w:p>
    <w:p>
      <w:r>
        <w:t>Figure 2 shows how the one-sided Fisher p-value changes under the same reclassification sequence.</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network closure → conquest association as polities are progressively reclassified.</w:t>
      </w:r>
    </w:p>
    <w:p>
      <w:pPr>
        <w:pStyle w:val="Heading1"/>
      </w:pPr>
      <w:r>
        <w:t>5  Sensitivity Analysis: Technical Network Exclusion</w:t>
      </w:r>
    </w:p>
    <w:p>
      <w:pPr>
        <w:pStyle w:val="Heading2"/>
      </w:pPr>
      <w:r>
        <w:t>5.1  Closure-type disaggregation</w:t>
      </w:r>
    </w:p>
    <w:p>
      <w:r>
        <w:t>Under the 7-country reclassification, technically excluded polities—those classified as severely disconnected from the dominant exchange networks of their era—have a 100.0% conquest rate. Policy-based maritime bans, which restricted but did not entirely eliminate external contact, show lower rates (76.9% under disrupted → overtaken; 69.2% under disrupted → survived). Sakoku polities show 100.0% and 50.0%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Figure 3 shows that the category rates are not strictly monotonic: technical exclusion and sakoku have the highest rates, maritime bans are intermediate, and bloc closure is lower than the open category. The disaggregation therefore motivates the technology-flow hypothesis but does not independently establish a dose–response relationship.</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Stability of the stock–flow odds ratio</w:t>
      </w:r>
    </w:p>
    <w:p>
      <w:r>
        <w:t>The stock–flow OR = 1.774 is identical across all three reclassification scenarios. This invariance is expected: the reclassification changes the closure-type label but does not alter the stock/flow or outcome coding. Bootstrap resampling (5,000 draws) yields a median OR of 1.794 (95% CI [0.742, 4.601]). The median is close to the point estimate, but the interval is wide and includes the null.</w:t>
      </w:r>
    </w:p>
    <w:p>
      <w:pPr>
        <w:pStyle w:val="Heading2"/>
      </w:pPr>
      <w:r>
        <w:t>5.3  Multivariate regression stability</w:t>
      </w:r>
    </w:p>
    <w:p>
      <w:r>
        <w:t>Figure 4 presents the multivariate logistic regression results under the 7-country reclassification with disrupted → overtaken. In this specification, external threat (p = 0.0033), institutional quality (p = 0.0074), and era (p = 0.0093) have the smallest p-values. The network closure indicator is not independently significant (p = 0.8630) after controlling for these covariates. This pattern is consistent with, but does not identify, an indirect pathway involving technological stagnation, institutional change, and heightened external vulnerability—covariates that the multivariate model already captures.</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r>
        <w:t>Table 3 reports the corresponding coefficients, confidence intervals, and p-values.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Network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pPr>
        <w:pStyle w:val="Heading2"/>
      </w:pPr>
      <w:r>
        <w:t>6.1  The mechanism: technology flow disruption and cumulative divergence</w:t>
      </w:r>
    </w:p>
    <w:p>
      <w:r>
        <w:t>In the post hoc sensitivity analysis, the closure–conquest association changes when technically excluded polities are grouped with deliberately closed ones. This classification sensitivity suggests a pattern relevant to the proposed mechanism. If closure harmed states solely through lost trade revenue or reduced diplomatic leverage, then only deliberate closure—which blocks trade but not necessarily knowledge—should matter. Treating technical exclusion as a more severe disconnection category strengthens the association relative to the policy-only coding, which is consistent with technology flow as a candidate channel.</w:t>
      </w:r>
    </w:p>
    <w:p>
      <w:r>
        <w:t>The closure-type pattern in Figure 3 provides a descriptive comparison. Technical exclusion (classified as severe disconnection) is associated with a 100.0% conquest rate. Policy-based maritime bans, which restrict but do not eliminate technology flow, show a 76.9% rate under the main assignment.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system—is consistent with its avoidance of conquest. Japan was disrupted by the forced opening of 1853–54 but was not conquered; it reconstituted itself as the Meiji state and rapidly closed the technology gap. Bloc closures, which preserve substantial within-bloc technology sharing, show the lowest rate among closure categories. Because the category rates are not strictly monotonic, this comparison is hypothesis-generating rather than evidence of a dose–response relationship.</w:t>
      </w:r>
    </w:p>
    <w:p>
      <w:r>
        <w:t>The multivariate results provide a descriptive comparison. External threat and institutional quality have the largest conditional associations with conquest, and the network closure indicator loses significance after their inclusion (Table 3, Fig. 4). This is compatible with a technology-gap hypothesis, but does not establish one. One possible sequence is that technological stagnation weakens institutional adaptive capacity and leaves a polity less able to respond to external threats. This proposed ordering is consistent with Acemoglu and Robinson's (2012) emphasis on institutions as a proximate determinant of national success. Network access is treated here as a possible antecedent for future testing, not as an identified upstream cause. The candidate mediating variables (external threat, institutional quality) absorb the conditional association of the closure variable, but the cross-sectional exploratory design cannot establish direction, mediation, or causation.</w:t>
      </w:r>
    </w:p>
    <w:p>
      <w:pPr>
        <w:pStyle w:val="Heading2"/>
      </w:pPr>
      <w:r>
        <w:t>6.2  First contact and a proposed divergence mechanism</w:t>
      </w:r>
    </w:p>
    <w:p>
      <w:r>
        <w:t>The exploratory results can be read as a quantitative formulation of a long-recognized historical pattern: when civilizations that have developed in isolation encounter a technologically superior civilization, asymmetric outcomes may follow (Diamond 1997; Diamond and Bellwood 2003). Within this selected dataset, 100.0% of technically excluded cases are coded as conquered. The post hoc classification and non-probability case selection prevent treating that descriptive rate as a general historical estimate.</w:t>
      </w:r>
    </w:p>
    <w:p>
      <w:r>
        <w:t>The hypothesized pathway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with weaker access may have less capacity to do so.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expansion—an accumulated gap may have contributed to vulnerability. These case narratives motivate the proposed sequence but do not test it.</w:t>
      </w:r>
    </w:p>
    <w:p>
      <w:r>
        <w:t>Policy-closed polities that maintained narrow conduits of technology transfer—Japan's rangaku and Qing China's limited Canton trade—suggest a contrast worth testing against more severe disconnection. The present data do not measure residual technology flow or cumulative gaps and therefore cannot determine whether those mechanisms explain the coded outcomes.</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more severely disconnected.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large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6.3  Beyond geographic isolation: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Global shipping and communication networks have reduced, but not eliminated, geographic barriers to exchange. A further form of structural exclusion may arise when states are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An exploratory analogy can be drawn to contemporary states excluded from advanced semiconductor fabrication or AI model development, which may face a widening technology gap. If the gap grows large enough, the eventual 'first contact'—whether military, economic, or geopolitical—could produce asymmetric outcomes. Whether the historical coding captures a comparable process is an empirical question for future data.</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The post hoc association in the selected cases provides a provisional framework for thinking about which dimensions of modern technological access may be most consequential.</w:t>
      </w:r>
    </w:p>
    <w:p>
      <w:pPr>
        <w:pStyle w:val="Heading2"/>
      </w:pPr>
      <w:r>
        <w:t>6.4  Stability of the stock–flow framework and the question of resource-base transitions</w:t>
      </w:r>
    </w:p>
    <w:p>
      <w:r>
        <w:t>The stock–flow OR (1.774) is unchanged across the reclassification scenarios because those scenarios alter closure labels but not stock/flow or outcome coding. The stock–flow and closure comparisons should therefore be interpreted as separate exploratory descriptions rather than as evidence of distinct causal dimensions.</w:t>
      </w:r>
    </w:p>
    <w:p>
      <w:r>
        <w:t>Crossing these two dimensions yields a four-cell classification whose conquest rates are reported in Table 4.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jc w:val="center"/>
      </w:pPr>
      <w:r>
        <w:rPr>
          <w:b/>
          <w:sz w:val="20"/>
        </w:rPr>
        <w:t>Table 4  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r>
          </w:p>
        </w:tc>
        <w:tc>
          <w:tcPr>
            <w:tcW w:type="dxa" w:w="1881"/>
          </w:tcPr>
          <w:p>
            <w:pPr>
              <w:jc w:val="center"/>
            </w:pPr>
            <w:r>
              <w:rPr>
                <w:b/>
                <w:sz w:val="20"/>
              </w:rPr>
              <w:t>Conquered</w:t>
            </w:r>
          </w:p>
        </w:tc>
        <w:tc>
          <w:tcPr>
            <w:tcW w:type="dxa" w:w="1881"/>
          </w:tcPr>
          <w:p>
            <w:pPr>
              <w:jc w:val="center"/>
            </w:pPr>
            <w:r>
              <w:rPr>
                <w:b/>
                <w:sz w:val="20"/>
              </w:rPr>
              <w:t>Survived</w:t>
            </w:r>
          </w:p>
        </w:tc>
        <w:tc>
          <w:tcPr>
            <w:tcW w:type="dxa" w:w="1881"/>
          </w:tcPr>
          <w:p>
            <w:pPr>
              <w:jc w:val="center"/>
            </w:pPr>
            <w:r>
              <w:rPr>
                <w:b/>
                <w:sz w:val="20"/>
              </w:rPr>
              <w:t>n</w:t>
            </w:r>
          </w:p>
        </w:tc>
        <w:tc>
          <w:tcPr>
            <w:tcW w:type="dxa" w:w="1881"/>
          </w:tcPr>
          <w:p>
            <w:pPr>
              <w:jc w:val="center"/>
            </w:pPr>
            <w:r>
              <w:rPr>
                <w:b/>
                <w:sz w:val="20"/>
              </w:rPr>
              <w:t>Rate</w:t>
            </w:r>
          </w:p>
        </w:tc>
      </w:tr>
      <w:tr>
        <w:tc>
          <w:tcPr>
            <w:tcW w:type="dxa" w:w="1881"/>
          </w:tcPr>
          <w:p>
            <w:pPr>
              <w:jc w:val="center"/>
            </w:pPr>
            <w:r>
              <w:rPr>
                <w:sz w:val="20"/>
              </w:rPr>
              <w:t>Stock + closed</w:t>
            </w:r>
          </w:p>
        </w:tc>
        <w:tc>
          <w:tcPr>
            <w:tcW w:type="dxa" w:w="1881"/>
          </w:tcPr>
          <w:p>
            <w:pPr>
              <w:jc w:val="center"/>
            </w:pPr>
            <w:r>
              <w:rPr>
                <w:sz w:val="20"/>
              </w:rPr>
              <w:t>15</w:t>
            </w:r>
          </w:p>
        </w:tc>
        <w:tc>
          <w:tcPr>
            <w:tcW w:type="dxa" w:w="1881"/>
          </w:tcPr>
          <w:p>
            <w:pPr>
              <w:jc w:val="center"/>
            </w:pPr>
            <w:r>
              <w:rPr>
                <w:sz w:val="20"/>
              </w:rPr>
              <w:t>3</w:t>
            </w:r>
          </w:p>
        </w:tc>
        <w:tc>
          <w:tcPr>
            <w:tcW w:type="dxa" w:w="1881"/>
          </w:tcPr>
          <w:p>
            <w:pPr>
              <w:jc w:val="center"/>
            </w:pPr>
            <w:r>
              <w:rPr>
                <w:sz w:val="20"/>
              </w:rPr>
              <w:t>18</w:t>
            </w:r>
          </w:p>
        </w:tc>
        <w:tc>
          <w:tcPr>
            <w:tcW w:type="dxa" w:w="1881"/>
          </w:tcPr>
          <w:p>
            <w:pPr>
              <w:jc w:val="center"/>
            </w:pPr>
            <w:r>
              <w:rPr>
                <w:sz w:val="20"/>
              </w:rPr>
              <w:t>83.3%</w:t>
            </w:r>
          </w:p>
        </w:tc>
      </w:tr>
      <w:tr>
        <w:tc>
          <w:tcPr>
            <w:tcW w:type="dxa" w:w="1881"/>
          </w:tcPr>
          <w:p>
            <w:pPr>
              <w:jc w:val="center"/>
            </w:pPr>
            <w:r>
              <w:rPr>
                <w:sz w:val="20"/>
              </w:rPr>
              <w:t>Stock + open</w:t>
            </w:r>
          </w:p>
        </w:tc>
        <w:tc>
          <w:tcPr>
            <w:tcW w:type="dxa" w:w="1881"/>
          </w:tcPr>
          <w:p>
            <w:pPr>
              <w:jc w:val="center"/>
            </w:pPr>
            <w:r>
              <w:rPr>
                <w:sz w:val="20"/>
              </w:rPr>
              <w:t>18</w:t>
            </w:r>
          </w:p>
        </w:tc>
        <w:tc>
          <w:tcPr>
            <w:tcW w:type="dxa" w:w="1881"/>
          </w:tcPr>
          <w:p>
            <w:pPr>
              <w:jc w:val="center"/>
            </w:pPr>
            <w:r>
              <w:rPr>
                <w:sz w:val="20"/>
              </w:rPr>
              <w:t>9</w:t>
            </w:r>
          </w:p>
        </w:tc>
        <w:tc>
          <w:tcPr>
            <w:tcW w:type="dxa" w:w="1881"/>
          </w:tcPr>
          <w:p>
            <w:pPr>
              <w:jc w:val="center"/>
            </w:pPr>
            <w:r>
              <w:rPr>
                <w:sz w:val="20"/>
              </w:rPr>
              <w:t>27</w:t>
            </w:r>
          </w:p>
        </w:tc>
        <w:tc>
          <w:tcPr>
            <w:tcW w:type="dxa" w:w="1881"/>
          </w:tcPr>
          <w:p>
            <w:pPr>
              <w:jc w:val="center"/>
            </w:pPr>
            <w:r>
              <w:rPr>
                <w:sz w:val="20"/>
              </w:rPr>
              <w:t>66.7%</w:t>
            </w:r>
          </w:p>
        </w:tc>
      </w:tr>
      <w:tr>
        <w:tc>
          <w:tcPr>
            <w:tcW w:type="dxa" w:w="1881"/>
          </w:tcPr>
          <w:p>
            <w:pPr>
              <w:jc w:val="center"/>
            </w:pPr>
            <w:r>
              <w:rPr>
                <w:sz w:val="20"/>
              </w:rPr>
              <w:t>Flow + closed</w:t>
            </w:r>
          </w:p>
        </w:tc>
        <w:tc>
          <w:tcPr>
            <w:tcW w:type="dxa" w:w="1881"/>
          </w:tcPr>
          <w:p>
            <w:pPr>
              <w:jc w:val="center"/>
            </w:pPr>
            <w:r>
              <w:rPr>
                <w:sz w:val="20"/>
              </w:rPr>
              <w:t>4</w:t>
            </w:r>
          </w:p>
        </w:tc>
        <w:tc>
          <w:tcPr>
            <w:tcW w:type="dxa" w:w="1881"/>
          </w:tcPr>
          <w:p>
            <w:pPr>
              <w:jc w:val="center"/>
            </w:pPr>
            <w:r>
              <w:rPr>
                <w:sz w:val="20"/>
              </w:rPr>
              <w:t>0</w:t>
            </w:r>
          </w:p>
        </w:tc>
        <w:tc>
          <w:tcPr>
            <w:tcW w:type="dxa" w:w="1881"/>
          </w:tcPr>
          <w:p>
            <w:pPr>
              <w:jc w:val="center"/>
            </w:pPr>
            <w:r>
              <w:rPr>
                <w:sz w:val="20"/>
              </w:rPr>
              <w:t>4</w:t>
            </w:r>
          </w:p>
        </w:tc>
        <w:tc>
          <w:tcPr>
            <w:tcW w:type="dxa" w:w="1881"/>
          </w:tcPr>
          <w:p>
            <w:pPr>
              <w:jc w:val="center"/>
            </w:pPr>
            <w:r>
              <w:rPr>
                <w:sz w:val="20"/>
              </w:rPr>
              <w:t>100.0%</w:t>
            </w:r>
          </w:p>
        </w:tc>
      </w:tr>
      <w:tr>
        <w:tc>
          <w:tcPr>
            <w:tcW w:type="dxa" w:w="1881"/>
          </w:tcPr>
          <w:p>
            <w:pPr>
              <w:jc w:val="center"/>
            </w:pPr>
            <w:r>
              <w:rPr>
                <w:sz w:val="20"/>
              </w:rPr>
              <w:t>Flow + open</w:t>
            </w:r>
          </w:p>
        </w:tc>
        <w:tc>
          <w:tcPr>
            <w:tcW w:type="dxa" w:w="1881"/>
          </w:tcPr>
          <w:p>
            <w:pPr>
              <w:jc w:val="center"/>
            </w:pPr>
            <w:r>
              <w:rPr>
                <w:sz w:val="20"/>
              </w:rPr>
              <w:t>27</w:t>
            </w:r>
          </w:p>
        </w:tc>
        <w:tc>
          <w:tcPr>
            <w:tcW w:type="dxa" w:w="1881"/>
          </w:tcPr>
          <w:p>
            <w:pPr>
              <w:jc w:val="center"/>
            </w:pPr>
            <w:r>
              <w:rPr>
                <w:sz w:val="20"/>
              </w:rPr>
              <w:t>20</w:t>
            </w:r>
          </w:p>
        </w:tc>
        <w:tc>
          <w:tcPr>
            <w:tcW w:type="dxa" w:w="1881"/>
          </w:tcPr>
          <w:p>
            <w:pPr>
              <w:jc w:val="center"/>
            </w:pPr>
            <w:r>
              <w:rPr>
                <w:sz w:val="20"/>
              </w:rPr>
              <w:t>47</w:t>
            </w:r>
          </w:p>
        </w:tc>
        <w:tc>
          <w:tcPr>
            <w:tcW w:type="dxa" w:w="1881"/>
          </w:tcPr>
          <w:p>
            <w:pPr>
              <w:jc w:val="center"/>
            </w:pPr>
            <w:r>
              <w:rPr>
                <w:sz w:val="20"/>
              </w:rPr>
              <w:t>57.4%</w:t>
            </w:r>
          </w:p>
        </w:tc>
      </w:tr>
    </w:tbl>
    <w:p>
      <w:r>
        <w:rPr>
          <w:i/>
          <w:sz w:val="18"/>
        </w:rPr>
        <w:t>Fisher exact tests (one-sided): stock + closed vs. flow + open, OR = 3.70, p = 0.045; within stock, closed vs. open, OR = 2.50, p = 0.187; within flow, closed vs. open, OR = ∞, p = 0.126.</w:t>
      </w:r>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6.5  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Fifth, the forward-looking extension to modern technological exclusion is necessarily speculative, as the mechanisms operating in a nuclear-armed, institutionally dense modern world may differ qualitatively from those in premodern eras.</w:t>
      </w:r>
    </w:p>
    <w:p>
      <w:pPr>
        <w:pStyle w:val="Heading1"/>
      </w:pPr>
      <w:r>
        <w:t>7  Conclusion</w:t>
      </w:r>
    </w:p>
    <w:p>
      <w:r>
        <w:t>Within this AI-assisted exploratory dataset, a post hoc reclassification of 7 technically excluded polities—those coded as disconnected from the dominant exchange networks of their era by geography and technology rather than by policy—changes the one-sided Fisher exact p-value to 0.020, while the core stock–flow odds ratio remains unchanged (OR = 1.774). The 100.0% conquest rate among technically excluded polities, the closure-type comparison, and the absorption of the closure effect by external threat and institutional quality in multivariate models are consistent with, but do not establish, a proposed mechanism in which disruption of technology flow leads to cumulative divergence from the technological frontier.</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concentration—may warrant comparison with historical patterns of cumulative divergence. The exploratory comparison does not establish that modern technological restrictions will produce the same outcomes. The converse question suggested by the Tokugawa precedent is whether a state that recognizes the risk of network exclusion can, through deliberate maintenance of selective technology channels, reduce divergence while restricting broader engagement with the outside world.</w:t>
      </w:r>
    </w:p>
    <w:p>
      <w:pPr>
        <w:pStyle w:val="Heading1"/>
      </w:pPr>
      <w:r>
        <w:t>Statements and Declarations</w:t>
      </w:r>
    </w:p>
    <w:p>
      <w:pPr>
        <w:pStyle w:val="Heading2"/>
      </w:pPr>
      <w:r>
        <w:t>Funding</w:t>
      </w:r>
    </w:p>
    <w:p>
      <w:r>
        <w:t>[To be completed by author]</w:t>
      </w:r>
    </w:p>
    <w:p>
      <w:pPr>
        <w:pStyle w:val="Heading2"/>
      </w:pPr>
      <w:r>
        <w:t>Competing Interests</w:t>
      </w:r>
    </w:p>
    <w:p>
      <w:r>
        <w:t>[To be confirmed by author]</w:t>
      </w:r>
    </w:p>
    <w:p>
      <w:pPr>
        <w:pStyle w:val="Heading2"/>
      </w:pPr>
      <w:r>
        <w:t>Author Contributions (CRediT)</w:t>
      </w:r>
    </w:p>
    <w:p>
      <w:r>
        <w:t>[To be completed by author]</w:t>
      </w:r>
    </w:p>
    <w:p>
      <w:pPr>
        <w:pStyle w:val="Heading2"/>
      </w:pPr>
      <w:r>
        <w:t>Data Availability</w:t>
      </w:r>
    </w:p>
    <w:p>
      <w:r>
        <w:t>The complete dataset and analysis code are available at https://github.com/bougtoir/beyond-gdp-national-power. Supplementary Table S1 provides the full dataset of 96 polities with all coded variables.</w:t>
      </w:r>
    </w:p>
    <w:p>
      <w:pPr>
        <w:pStyle w:val="Heading2"/>
      </w:pPr>
      <w:r>
        <w:t>Declaration of Generative AI and AI-Assisted Technologies in the Manuscript Preparation Process</w:t>
      </w:r>
    </w:p>
    <w:p>
      <w:r>
        <w:t>During the preparation of this work, the author used Devin (Cognition AI) to support code execution, dataset documentation, source auditing, and drafting and editing. The author reviewed and edited the content as needed and takes full responsibility for the content of the published article. [Author confirmation required before submission.]</w:t>
      </w:r>
    </w:p>
    <w:p>
      <w:pPr>
        <w:pStyle w:val="Heading1"/>
      </w:pPr>
      <w:r>
        <w:t>References</w:t>
      </w:r>
    </w:p>
    <w:p>
      <w:pPr>
        <w:ind w:hanging="567" w:left="567"/>
      </w:pPr>
      <w:r>
        <w:rPr>
          <w:sz w:val="22"/>
        </w:rPr>
        <w:t>Acemoglu D, Johnson S, Robinson JA (2002) Reversal of fortune: geography and institutions in the making of the modern world income distribution. Q J Econ 117:1231–1294. https://doi.org/10.1162/003355302320935025</w:t>
      </w:r>
    </w:p>
    <w:p>
      <w:pPr>
        <w:ind w:hanging="567" w:left="567"/>
      </w:pPr>
      <w:r>
        <w:rPr>
          <w:sz w:val="22"/>
        </w:rPr>
        <w:t>Acemoglu D, Robinson JA (2012) Why nations fail: the origins of power, prosperity, and poverty. Crown, New York</w:t>
      </w:r>
    </w:p>
    <w:p>
      <w:pPr>
        <w:ind w:hanging="567" w:left="567"/>
      </w:pPr>
      <w:r>
        <w:rPr>
          <w:sz w:val="22"/>
        </w:rPr>
        <w:t>Acemoglu D, Restrepo P (2020) Robots and jobs: evidence from US labor markets. J Polit Econ 128:2188–2244. https://doi.org/10.1086/705716</w:t>
      </w:r>
    </w:p>
    <w:p>
      <w:pPr>
        <w:ind w:hanging="567" w:left="567"/>
      </w:pPr>
      <w:r>
        <w:rPr>
          <w:sz w:val="22"/>
        </w:rPr>
        <w:t>Comin D, Easterly W, Gong E (2010) Was the wealth of nations determined in 1000 BC? Am Econ J Macroecon 2:65–97. https://doi.org/10.1257/mac.2.3.65</w:t>
      </w:r>
    </w:p>
    <w:p>
      <w:pPr>
        <w:ind w:hanging="567" w:left="567"/>
      </w:pPr>
      <w:r>
        <w:rPr>
          <w:sz w:val="22"/>
        </w:rPr>
        <w:t>Comin D, Mestieri M (2018) If technology has arrived everywhere, why has income diverged? Am Econ J Macroecon 10:137–178. https://doi.org/10.1257/mac.20150175</w:t>
      </w:r>
    </w:p>
    <w:p>
      <w:pPr>
        <w:ind w:hanging="567" w:left="567"/>
      </w:pPr>
      <w:r>
        <w:rPr>
          <w:sz w:val="22"/>
        </w:rPr>
        <w:t>Diamond J (1997) Guns, germs, and steel: the fates of human societies. W.W. Norton, New York</w:t>
      </w:r>
    </w:p>
    <w:p>
      <w:pPr>
        <w:ind w:hanging="567" w:left="567"/>
      </w:pPr>
      <w:r>
        <w:rPr>
          <w:sz w:val="22"/>
        </w:rPr>
        <w:t>Diamond J, Bellwood P (2003) Farmers and their languages: the first expansions. Science 300:597–603. https://doi.org/10.1126/science.1078208</w:t>
      </w:r>
    </w:p>
    <w:p>
      <w:pPr>
        <w:ind w:hanging="567" w:left="567"/>
      </w:pPr>
      <w:r>
        <w:rPr>
          <w:sz w:val="22"/>
        </w:rPr>
        <w:t>Findlay R, O'Rourke KH (2007) Power and plenty: trade, war, and the world economy in the second millennium. Princeton University Press, Princeton</w:t>
      </w:r>
    </w:p>
    <w:p>
      <w:pPr>
        <w:ind w:hanging="567" w:left="567"/>
      </w:pPr>
      <w:r>
        <w:rPr>
          <w:sz w:val="22"/>
        </w:rPr>
        <w:t>Kennedy P (1987) The rise and fall of the great powers: economic change and military conflict from 1500 to 2000. Random House, New York</w:t>
      </w:r>
    </w:p>
    <w:p>
      <w:pPr>
        <w:ind w:hanging="567" w:left="567"/>
      </w:pPr>
      <w:r>
        <w:rPr>
          <w:sz w:val="22"/>
        </w:rPr>
        <w:t>Mokyr J (2002) The gifts of Athena: historical origins of the knowledge economy. Princeton University Press, Princeton</w:t>
      </w:r>
    </w:p>
    <w:p>
      <w:pPr>
        <w:ind w:hanging="567" w:left="567"/>
      </w:pPr>
      <w:r>
        <w:rPr>
          <w:sz w:val="22"/>
        </w:rPr>
        <w:t>Nunn N (2008) The long-term effects of Africa's slave trades. Q J Econ 123:139–176. https://doi.org/10.1162/qjec.2008.123.1.139</w:t>
      </w:r>
    </w:p>
    <w:p>
      <w:pPr>
        <w:ind w:hanging="567" w:left="567"/>
      </w:pPr>
      <w:r>
        <w:rPr>
          <w:sz w:val="22"/>
        </w:rPr>
        <w:t>Pomeranz K (2000) The great divergence: China, Europe, and the making of the modern world economy. Princeton University Press, Princeton</w:t>
      </w:r>
    </w:p>
    <w:p>
      <w:pPr>
        <w:ind w:hanging="567" w:left="567"/>
      </w:pPr>
      <w:r>
        <w:rPr>
          <w:sz w:val="22"/>
        </w:rPr>
        <w:t>Tainter JA (1988) The collapse of complex societies. Cambridge University Press, Cambridge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