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Publishes an editable exploratory dataset of 96 polity-period cases.</w:t>
      </w:r>
    </w:p>
    <w:p>
      <w:pPr>
        <w:pStyle w:val="ListBullet"/>
      </w:pPr>
      <w:r>
        <w:t>Separates deliberate closure from technical network exclusion.</w:t>
      </w:r>
    </w:p>
    <w:p>
      <w:pPr>
        <w:pStyle w:val="ListBullet"/>
      </w:pPr>
      <w:r>
        <w:t>Reports closure reclassification across six sensitivity scenarios.</w:t>
      </w:r>
    </w:p>
    <w:p>
      <w:pPr>
        <w:pStyle w:val="ListBullet"/>
      </w:pPr>
      <w:r>
        <w:t>Finds non-monotonic outcome rates across closure categories.</w:t>
      </w:r>
    </w:p>
    <w:p>
      <w:pPr>
        <w:pStyle w:val="ListBullet"/>
      </w:pPr>
      <w:r>
        <w:t>Links case classifications to field-level source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