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[Date]</w:t>
      </w:r>
    </w:p>
    <w:p>
      <w:pPr>
        <w:spacing w:after="120"/>
      </w:pPr>
      <w:r>
        <w:rPr>
          <w:rFonts w:ascii="Times New Roman" w:hAnsi="Times New Roman"/>
          <w:b w:val="0"/>
          <w:i w:val="0"/>
          <w:sz w:val="24"/>
        </w:rPr>
      </w:r>
    </w:p>
    <w:p>
      <w:pPr>
        <w:spacing w:after="120"/>
      </w:pPr>
      <w:r>
        <w:rPr>
          <w:rFonts w:ascii="Times New Roman" w:hAnsi="Times New Roman"/>
          <w:b w:val="0"/>
          <w:i w:val="0"/>
          <w:sz w:val="24"/>
        </w:rPr>
        <w:t>Editor-in-Chief</w:t>
      </w:r>
    </w:p>
    <w:p>
      <w:pPr>
        <w:spacing w:after="120"/>
      </w:pPr>
      <w:r>
        <w:rPr>
          <w:rFonts w:ascii="Times New Roman" w:hAnsi="Times New Roman"/>
          <w:b w:val="0"/>
          <w:i w:val="0"/>
          <w:sz w:val="24"/>
        </w:rPr>
        <w:t>Regional Anesthesia &amp; Pain Medicine</w:t>
      </w:r>
    </w:p>
    <w:p>
      <w:pPr>
        <w:spacing w:after="120"/>
      </w:pPr>
      <w:r>
        <w:rPr>
          <w:rFonts w:ascii="Times New Roman" w:hAnsi="Times New Roman"/>
          <w:b w:val="0"/>
          <w:i w:val="0"/>
          <w:sz w:val="24"/>
        </w:rPr>
      </w:r>
    </w:p>
    <w:p>
      <w:pPr>
        <w:spacing w:after="120"/>
      </w:pPr>
      <w:r>
        <w:rPr>
          <w:rFonts w:ascii="Times New Roman" w:hAnsi="Times New Roman"/>
          <w:b w:val="0"/>
          <w:i w:val="0"/>
          <w:sz w:val="24"/>
        </w:rPr>
        <w:t>Dear Editor,</w:t>
      </w:r>
    </w:p>
    <w:p>
      <w:pPr>
        <w:spacing w:after="120"/>
      </w:pPr>
      <w:r>
        <w:rPr>
          <w:rFonts w:ascii="Times New Roman" w:hAnsi="Times New Roman"/>
          <w:b w:val="0"/>
          <w:i w:val="0"/>
          <w:sz w:val="24"/>
        </w:rPr>
      </w:r>
    </w:p>
    <w:p>
      <w:pPr>
        <w:spacing w:after="120"/>
      </w:pPr>
      <w:r>
        <w:rPr>
          <w:rFonts w:ascii="Times New Roman" w:hAnsi="Times New Roman"/>
          <w:b/>
          <w:i w:val="0"/>
          <w:sz w:val="24"/>
        </w:rPr>
        <w:t>Re: Submission of Narrative Review — "Are Intravenous Pharmacokinetic Models Fit for Purpose in Regional Anesthesia? The Case for Route-Aware Simulation of Local Anesthetic Absorption"</w:t>
      </w:r>
    </w:p>
    <w:p>
      <w:pPr>
        <w:spacing w:after="120"/>
      </w:pPr>
      <w:r>
        <w:rPr>
          <w:rFonts w:ascii="Times New Roman" w:hAnsi="Times New Roman"/>
          <w:b w:val="0"/>
          <w:i w:val="0"/>
          <w:sz w:val="24"/>
        </w:rPr>
      </w:r>
    </w:p>
    <w:p>
      <w:pPr>
        <w:spacing w:after="120"/>
      </w:pPr>
      <w:r>
        <w:rPr>
          <w:rFonts w:ascii="Times New Roman" w:hAnsi="Times New Roman"/>
          <w:b w:val="0"/>
          <w:i w:val="0"/>
          <w:sz w:val="24"/>
        </w:rPr>
        <w:t>I am pleased to submit the above manuscript for consideration as a Narrative Review in Regional Anesthesia &amp; Pain Medicine.</w:t>
      </w:r>
    </w:p>
    <w:p>
      <w:pPr>
        <w:spacing w:after="120"/>
      </w:pPr>
      <w:r>
        <w:rPr>
          <w:rFonts w:ascii="Times New Roman" w:hAnsi="Times New Roman"/>
          <w:b w:val="0"/>
          <w:i w:val="0"/>
          <w:sz w:val="24"/>
        </w:rPr>
        <w:t>This review addresses a question of direct relevance to every clinician who administers local anesthetics for regional blocks: can pharmacokinetic models derived from intravenous administration data produce meaningful plasma concentration predictions when applied to tissue-based deposition routes? I argue that they cannot, because they lack the absorption compartment and route-specific parameters that govern drug entry into the systemic circulation after regional injection.</w:t>
      </w:r>
    </w:p>
    <w:p>
      <w:pPr>
        <w:spacing w:after="120"/>
      </w:pPr>
      <w:r>
        <w:rPr>
          <w:rFonts w:ascii="Times New Roman" w:hAnsi="Times New Roman"/>
          <w:b/>
          <w:i w:val="0"/>
          <w:sz w:val="24"/>
        </w:rPr>
        <w:t>The central clinical insight of this review is that route-dependent absorption has two inseparable consequences for patient safety:</w:t>
      </w:r>
    </w:p>
    <w:p>
      <w:pPr>
        <w:spacing w:after="120"/>
      </w:pPr>
      <w:r>
        <w:rPr>
          <w:rFonts w:ascii="Times New Roman" w:hAnsi="Times New Roman"/>
          <w:b w:val="0"/>
          <w:i w:val="0"/>
          <w:sz w:val="24"/>
        </w:rPr>
        <w:t>(1) Slow tissue absorption explains why clinicians can safely administer doses that approach or exceed traditional maximum limits for fascial plane and peripheral nerve blocks—the actual peak plasma concentration (Cmax) is substantially lower than intravenous-derived models predict.</w:t>
      </w:r>
    </w:p>
    <w:p>
      <w:pPr>
        <w:spacing w:after="120"/>
      </w:pPr>
      <w:r>
        <w:rPr>
          <w:rFonts w:ascii="Times New Roman" w:hAnsi="Times New Roman"/>
          <w:b/>
          <w:i w:val="0"/>
          <w:sz w:val="24"/>
        </w:rPr>
        <w:t>(2) However, the same mechanism that provides this safety margin—delayed absorption—simultaneously shifts the time to peak plasma concentration (Tmax) to well beyond the traditional monitoring window. Population pharmacokinetic studies report Tmax values of 30–60 minutes or longer after fascial plane blocks, yet conventional LAST monitoring is often focused on the first 15–30 minutes after injection. This means clinicians may be terminating observation before the period of maximum pharmacokinetic risk has even begun.</w:t>
      </w:r>
    </w:p>
    <w:p>
      <w:pPr>
        <w:spacing w:after="120"/>
      </w:pPr>
      <w:r>
        <w:rPr>
          <w:rFonts w:ascii="Times New Roman" w:hAnsi="Times New Roman"/>
          <w:b w:val="0"/>
          <w:i w:val="0"/>
          <w:sz w:val="24"/>
        </w:rPr>
        <w:t>This dual consequence—explaining dose safety while simultaneously demanding extended monitoring—distinguishes this work from a unidirectional argument for dose liberalization. The review explicitly states that current maximum dose recommendations should continue to be followed, and instead focuses on the need for route-aware pharmacokinetic understanding to inform both dose interpretation and monitoring duration.</w:t>
      </w:r>
    </w:p>
    <w:p>
      <w:pPr>
        <w:spacing w:after="120"/>
      </w:pPr>
      <w:r>
        <w:rPr>
          <w:rFonts w:ascii="Times New Roman" w:hAnsi="Times New Roman"/>
          <w:b w:val="0"/>
          <w:i w:val="0"/>
          <w:sz w:val="24"/>
        </w:rPr>
        <w:t>The manuscript discusses physiologically based pharmacokinetic (PBPK) platforms (PK-Sim, MoBi) as tools for developing route-specific simulations, and proposes a validation workflow. A preprint describing the initial framework is archived on SSRN (https://papers.ssrn.com/sol3/papers.cfm?abstract_id=6614761); this submission represents a substantially restructured and refocused version with the monitoring window implication as its central clinical contribution.</w:t>
      </w:r>
    </w:p>
    <w:p>
      <w:pPr>
        <w:spacing w:after="120"/>
      </w:pPr>
      <w:r>
        <w:rPr>
          <w:rFonts w:ascii="Times New Roman" w:hAnsi="Times New Roman"/>
          <w:b w:val="0"/>
          <w:i w:val="0"/>
          <w:sz w:val="24"/>
        </w:rPr>
        <w:t>I believe this review is well suited to the readership of RAPM, who encounter these pharmacokinetic questions daily—particularly in the context of multisite blocks for polytrauma, bilateral fascial plane blocks, and other high-dose regional anesthesia scenarios.</w:t>
      </w:r>
    </w:p>
    <w:p>
      <w:pPr>
        <w:spacing w:after="120"/>
      </w:pPr>
      <w:r>
        <w:rPr>
          <w:rFonts w:ascii="Times New Roman" w:hAnsi="Times New Roman"/>
          <w:b w:val="0"/>
          <w:i w:val="0"/>
          <w:sz w:val="24"/>
        </w:rPr>
        <w:t>This manuscript is not under consideration elsewhere and has not been published previously (other than the preprint noted above). The author has no conflicts of interest to declare. AI-assisted tools were used for manuscript preparation, as disclosed in the manuscript per BMJ policy.</w:t>
      </w:r>
    </w:p>
    <w:p>
      <w:pPr>
        <w:spacing w:after="120"/>
      </w:pPr>
      <w:r>
        <w:rPr>
          <w:rFonts w:ascii="Times New Roman" w:hAnsi="Times New Roman"/>
          <w:b w:val="0"/>
          <w:i w:val="0"/>
          <w:sz w:val="24"/>
        </w:rPr>
      </w:r>
    </w:p>
    <w:p>
      <w:pPr>
        <w:spacing w:after="120"/>
      </w:pPr>
      <w:r>
        <w:rPr>
          <w:rFonts w:ascii="Times New Roman" w:hAnsi="Times New Roman"/>
          <w:b w:val="0"/>
          <w:i w:val="0"/>
          <w:sz w:val="24"/>
        </w:rPr>
        <w:t>Yours sincerely,</w:t>
      </w:r>
    </w:p>
    <w:p>
      <w:pPr>
        <w:spacing w:after="120"/>
      </w:pPr>
      <w:r>
        <w:rPr>
          <w:rFonts w:ascii="Times New Roman" w:hAnsi="Times New Roman"/>
          <w:b w:val="0"/>
          <w:i w:val="0"/>
          <w:sz w:val="24"/>
        </w:rPr>
      </w:r>
    </w:p>
    <w:p>
      <w:pPr>
        <w:spacing w:after="120"/>
      </w:pPr>
      <w:r>
        <w:rPr>
          <w:rFonts w:ascii="Times New Roman" w:hAnsi="Times New Roman"/>
          <w:b w:val="0"/>
          <w:i w:val="0"/>
          <w:sz w:val="24"/>
        </w:rPr>
        <w:t>[Author name]</w:t>
      </w:r>
    </w:p>
    <w:p>
      <w:pPr>
        <w:spacing w:after="120"/>
      </w:pPr>
      <w:r>
        <w:rPr>
          <w:rFonts w:ascii="Times New Roman" w:hAnsi="Times New Roman"/>
          <w:b w:val="0"/>
          <w:i w:val="0"/>
          <w:sz w:val="24"/>
        </w:rPr>
        <w:t>[Affiliation]</w:t>
      </w:r>
    </w:p>
    <w:p>
      <w:pPr>
        <w:spacing w:after="120"/>
      </w:pPr>
      <w:r>
        <w:rPr>
          <w:rFonts w:ascii="Times New Roman" w:hAnsi="Times New Roman"/>
          <w:b w:val="0"/>
          <w:i w:val="0"/>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