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r>
    </w:p>
    <w:p>
      <w:r>
        <w:rPr>
          <w:rFonts w:ascii="Times New Roman" w:hAnsi="Times New Roman"/>
          <w:b w:val="0"/>
          <w:i w:val="0"/>
          <w:sz w:val="24"/>
        </w:rPr>
      </w:r>
    </w:p>
    <w:p>
      <w:pPr>
        <w:jc w:val="center"/>
      </w:pPr>
      <w:r>
        <w:rPr>
          <w:rFonts w:ascii="Times New Roman" w:hAnsi="Times New Roman"/>
          <w:b/>
          <w:i w:val="0"/>
          <w:sz w:val="24"/>
        </w:rPr>
        <w:t>Are Intravenous Pharmacokinetic Models Fit for Purpose in Regional Anesthesia?</w:t>
      </w:r>
    </w:p>
    <w:p>
      <w:pPr>
        <w:jc w:val="center"/>
      </w:pPr>
      <w:r>
        <w:rPr>
          <w:rFonts w:ascii="Times New Roman" w:hAnsi="Times New Roman"/>
          <w:b/>
          <w:i w:val="0"/>
          <w:sz w:val="24"/>
        </w:rPr>
        <w:t>The Case for Route-Aware Simulation of Local Anesthetic Absorption</w:t>
      </w:r>
    </w:p>
    <w:p>
      <w:r>
        <w:rPr>
          <w:rFonts w:ascii="Times New Roman" w:hAnsi="Times New Roman"/>
          <w:b w:val="0"/>
          <w:i w:val="0"/>
          <w:sz w:val="24"/>
        </w:rPr>
      </w:r>
    </w:p>
    <w:p>
      <w:r>
        <w:rPr>
          <w:rFonts w:ascii="Times New Roman" w:hAnsi="Times New Roman"/>
          <w:b w:val="0"/>
          <w:i w:val="0"/>
          <w:sz w:val="24"/>
        </w:rPr>
      </w:r>
    </w:p>
    <w:p>
      <w:pPr>
        <w:jc w:val="center"/>
      </w:pPr>
      <w:r>
        <w:rPr>
          <w:rFonts w:ascii="Times New Roman" w:hAnsi="Times New Roman"/>
          <w:b w:val="0"/>
          <w:i/>
          <w:sz w:val="24"/>
        </w:rPr>
        <w:t>Article type: Narrative Review</w:t>
      </w:r>
    </w:p>
    <w:p>
      <w:r>
        <w:rPr>
          <w:rFonts w:ascii="Times New Roman" w:hAnsi="Times New Roman"/>
          <w:b w:val="0"/>
          <w:i w:val="0"/>
          <w:sz w:val="24"/>
        </w:rPr>
      </w:r>
    </w:p>
    <w:p>
      <w:pPr>
        <w:jc w:val="center"/>
      </w:pPr>
      <w:r>
        <w:rPr>
          <w:rFonts w:ascii="Times New Roman" w:hAnsi="Times New Roman"/>
          <w:b w:val="0"/>
          <w:i w:val="0"/>
          <w:sz w:val="24"/>
        </w:rPr>
        <w:t>[Author name to be inserted]</w:t>
      </w:r>
    </w:p>
    <w:p>
      <w:pPr>
        <w:jc w:val="center"/>
      </w:pPr>
      <w:r>
        <w:rPr>
          <w:rFonts w:ascii="Times New Roman" w:hAnsi="Times New Roman"/>
          <w:b w:val="0"/>
          <w:i w:val="0"/>
          <w:sz w:val="24"/>
        </w:rPr>
        <w:t>[Affiliation to be inserted]</w:t>
      </w:r>
    </w:p>
    <w:p>
      <w:r>
        <w:rPr>
          <w:rFonts w:ascii="Times New Roman" w:hAnsi="Times New Roman"/>
          <w:b w:val="0"/>
          <w:i w:val="0"/>
          <w:sz w:val="24"/>
        </w:rPr>
      </w:r>
    </w:p>
    <w:p>
      <w:r>
        <w:rPr>
          <w:rFonts w:ascii="Times New Roman" w:hAnsi="Times New Roman"/>
          <w:b/>
          <w:i w:val="0"/>
          <w:sz w:val="24"/>
        </w:rPr>
        <w:t>Corresponding author:</w:t>
      </w:r>
    </w:p>
    <w:p>
      <w:r>
        <w:rPr>
          <w:rFonts w:ascii="Times New Roman" w:hAnsi="Times New Roman"/>
          <w:b w:val="0"/>
          <w:i w:val="0"/>
          <w:sz w:val="24"/>
        </w:rPr>
        <w:t>[Name, Department, Institution, Address, Email]</w:t>
      </w:r>
    </w:p>
    <w:p>
      <w:r>
        <w:rPr>
          <w:rFonts w:ascii="Times New Roman" w:hAnsi="Times New Roman"/>
          <w:b w:val="0"/>
          <w:i w:val="0"/>
          <w:sz w:val="24"/>
        </w:rPr>
      </w:r>
    </w:p>
    <w:p>
      <w:r>
        <w:rPr>
          <w:rFonts w:ascii="Times New Roman" w:hAnsi="Times New Roman"/>
          <w:b w:val="0"/>
          <w:i w:val="0"/>
          <w:sz w:val="24"/>
        </w:rPr>
        <w:t>Word count: approximately 4200 words (main text)</w:t>
      </w:r>
    </w:p>
    <w:p>
      <w:r>
        <w:rPr>
          <w:rFonts w:ascii="Times New Roman" w:hAnsi="Times New Roman"/>
          <w:b w:val="0"/>
          <w:i w:val="0"/>
          <w:sz w:val="24"/>
        </w:rPr>
        <w:t>References: 33</w:t>
      </w:r>
    </w:p>
    <w:p>
      <w:r>
        <w:rPr>
          <w:rFonts w:ascii="Times New Roman" w:hAnsi="Times New Roman"/>
          <w:b w:val="0"/>
          <w:i w:val="0"/>
          <w:sz w:val="24"/>
        </w:rPr>
        <w:t>Figures: 3</w:t>
      </w:r>
    </w:p>
    <w:p>
      <w:r>
        <w:rPr>
          <w:rFonts w:ascii="Times New Roman" w:hAnsi="Times New Roman"/>
          <w:b w:val="0"/>
          <w:i w:val="0"/>
          <w:sz w:val="24"/>
        </w:rPr>
        <w:t>Tables: 0</w:t>
      </w:r>
    </w:p>
    <w:p>
      <w:r>
        <w:rPr>
          <w:rFonts w:ascii="Times New Roman" w:hAnsi="Times New Roman"/>
          <w:b w:val="0"/>
          <w:i w:val="0"/>
          <w:sz w:val="24"/>
        </w:rPr>
      </w:r>
    </w:p>
    <w:p>
      <w:r>
        <w:rPr>
          <w:rFonts w:ascii="Times New Roman" w:hAnsi="Times New Roman"/>
          <w:b w:val="0"/>
          <w:i/>
          <w:sz w:val="24"/>
        </w:rPr>
        <w:t>Keywords: local anesthetic systemic toxicity; pharmacokinetic modeling; regional anesthesia; physiologically based pharmacokinetics; absorption; maximum recommended dose; route of administration</w:t>
      </w:r>
    </w:p>
    <w:p>
      <w:r>
        <w:br w:type="page"/>
      </w:r>
    </w:p>
    <w:p>
      <w:pPr>
        <w:pStyle w:val="Heading1"/>
      </w:pPr>
      <w:r>
        <w:rPr>
          <w:rFonts w:ascii="Times New Roman" w:hAnsi="Times New Roman"/>
          <w:color w:val="000000"/>
        </w:rPr>
        <w:t>Abstract</w:t>
      </w:r>
    </w:p>
    <w:p>
      <w:r>
        <w:rPr>
          <w:rFonts w:ascii="Times New Roman" w:hAnsi="Times New Roman"/>
          <w:sz w:val="24"/>
        </w:rPr>
        <w:t>Maximum recommended doses for local anesthetics were derived from pharmacokinetic studies involving intravenous or subcutaneous administration, where drug enters the central plasma compartment directly. In regional anesthesia, however, local anesthetics are deposited into tissues—fascial planes, perineural spaces, or the epidural space—where systemic absorption is governed by tissue-specific blood flow, binding, and physicochemical properties. The resulting plasma concentration–time profiles differ fundamentally from those predicted by intravenous-derived three-compartment models. Population pharmacokinetic studies consistently demonstrate slower absorption (lower ka), delayed time to peak concentration (Tmax), and lower peak concentrations (Cmax) after regional blocks compared with intravenous bolus administration. Despite this evidence, pharmacokinetic simulations embedded in clinical decision support tools and dose-tracking systems continue to apply intravenous-derived parameters to regional routes, potentially generating misleading plasma concentration predictions. In this narrative review, I examine the evidence for route-dependent absorption of local anesthetics, explain why intravenous-derived models are pharmacokinetically inappropriate for regional anesthesia, and discuss how physiologically based pharmacokinetic (PBPK) platforms such as PK-Sim and MoBi could provide route-aware simulations. I emphasize that this review does not advocate changing current maximum dose recommendations; rather, it argues that the pharmacokinetic models used to understand and predict local anesthetic behavior in regional anesthesia must account for the route of administration.</w:t>
      </w:r>
    </w:p>
    <w:p>
      <w:r>
        <w:br w:type="page"/>
      </w:r>
    </w:p>
    <w:p>
      <w:pPr>
        <w:pStyle w:val="Heading1"/>
      </w:pPr>
      <w:r>
        <w:rPr>
          <w:rFonts w:ascii="Times New Roman" w:hAnsi="Times New Roman"/>
          <w:color w:val="000000"/>
        </w:rPr>
        <w:t>Introduction</w:t>
      </w:r>
    </w:p>
    <w:p>
      <w:r>
        <w:rPr>
          <w:rFonts w:ascii="Times New Roman" w:hAnsi="Times New Roman"/>
          <w:sz w:val="24"/>
        </w:rPr>
        <w:t>Local anesthetic systemic toxicity (LAST) remains a serious complication of regional anesthesia, and maximum recommended doses serve as a critical safety guardrail.</w:t>
      </w:r>
      <w:r>
        <w:rPr>
          <w:rFonts w:ascii="Times New Roman" w:hAnsi="Times New Roman"/>
          <w:sz w:val="24"/>
          <w:vertAlign w:val="superscript"/>
        </w:rPr>
        <w:t>1,2</w:t>
      </w:r>
      <w:r>
        <w:rPr>
          <w:rFonts w:ascii="Times New Roman" w:hAnsi="Times New Roman"/>
          <w:sz w:val="24"/>
        </w:rPr>
        <w:t xml:space="preserve"> These dose limits, traditionally expressed as mg/kg, were established decades ago on the basis of pharmacokinetic data from intravenous and subcutaneous administration studies.</w:t>
      </w:r>
      <w:r>
        <w:rPr>
          <w:rFonts w:ascii="Times New Roman" w:hAnsi="Times New Roman"/>
          <w:sz w:val="24"/>
          <w:vertAlign w:val="superscript"/>
        </w:rPr>
        <w:t>3,4</w:t>
      </w:r>
      <w:r>
        <w:rPr>
          <w:rFonts w:ascii="Times New Roman" w:hAnsi="Times New Roman"/>
          <w:sz w:val="24"/>
        </w:rPr>
        <w:t xml:space="preserve"> The implicit pharmacokinetic assumption underlying these limits is that drug enters the central plasma compartment rapidly—an assumption valid for intravenous injection but not necessarily for tissue-based deposition in regional anesthesia.</w:t>
      </w:r>
    </w:p>
    <w:p>
      <w:r>
        <w:rPr>
          <w:rFonts w:ascii="Times New Roman" w:hAnsi="Times New Roman"/>
          <w:sz w:val="24"/>
        </w:rPr>
        <w:t>The three-compartment mammillary model widely used in anesthetic pharmacology describes drug distribution from the central compartment (V1, plasma) to a rapidly equilibrating peripheral compartment (V2, vessel-rich tissues) and a slowly equilibrating peripheral compartment (V3, vessel-poor tissues), with elimination from the central compartment.</w:t>
      </w:r>
      <w:r>
        <w:rPr>
          <w:rFonts w:ascii="Times New Roman" w:hAnsi="Times New Roman"/>
          <w:sz w:val="24"/>
          <w:vertAlign w:val="superscript"/>
        </w:rPr>
        <w:t>5,6</w:t>
      </w:r>
      <w:r>
        <w:rPr>
          <w:rFonts w:ascii="Times New Roman" w:hAnsi="Times New Roman"/>
          <w:sz w:val="24"/>
        </w:rPr>
        <w:t xml:space="preserve"> This model underpins target-controlled infusion systems and pharmacokinetic displays in modern anesthesia information management systems (AIMS).</w:t>
      </w:r>
      <w:r>
        <w:rPr>
          <w:rFonts w:ascii="Times New Roman" w:hAnsi="Times New Roman"/>
          <w:sz w:val="24"/>
          <w:vertAlign w:val="superscript"/>
        </w:rPr>
        <w:t>7,8</w:t>
      </w:r>
      <w:r>
        <w:rPr>
          <w:rFonts w:ascii="Times New Roman" w:hAnsi="Times New Roman"/>
          <w:sz w:val="24"/>
        </w:rPr>
        <w:t xml:space="preserve"> Critically, it assumes that drug input occurs at V1.</w:t>
      </w:r>
    </w:p>
    <w:p>
      <w:r>
        <w:rPr>
          <w:rFonts w:ascii="Times New Roman" w:hAnsi="Times New Roman"/>
          <w:sz w:val="24"/>
        </w:rPr>
        <w:t>In regional anesthesia, local anesthetics are deposited into tissue—perineural spaces, fascial planes, or the epidural space—where systemic absorption depends on local blood flow, tissue binding, drug lipophilicity, and the presence or absence of vasoconstrictors.</w:t>
      </w:r>
      <w:r>
        <w:rPr>
          <w:rFonts w:ascii="Times New Roman" w:hAnsi="Times New Roman"/>
          <w:sz w:val="24"/>
          <w:vertAlign w:val="superscript"/>
        </w:rPr>
        <w:t>9,10</w:t>
      </w:r>
      <w:r>
        <w:rPr>
          <w:rFonts w:ascii="Times New Roman" w:hAnsi="Times New Roman"/>
          <w:sz w:val="24"/>
        </w:rPr>
        <w:t xml:space="preserve"> Recent pharmacokinetic studies have demonstrated that absorption profiles after regional blocks differ markedly from intravenous administration, with slower absorption rates, lower peak plasma concentrations, and delayed times to peak.</w:t>
      </w:r>
      <w:r>
        <w:rPr>
          <w:rFonts w:ascii="Times New Roman" w:hAnsi="Times New Roman"/>
          <w:sz w:val="24"/>
          <w:vertAlign w:val="superscript"/>
        </w:rPr>
        <w:t>11-13</w:t>
      </w:r>
      <w:r>
        <w:rPr>
          <w:rFonts w:ascii="Times New Roman" w:hAnsi="Times New Roman"/>
          <w:sz w:val="24"/>
        </w:rPr>
        <w:t xml:space="preserve"> De Cassai and colleagues have advanced understanding of fascial plane block pharmacokinetics, highlighting the roles of epinephrine and tissue vascularity in determining absorption profiles.</w:t>
      </w:r>
      <w:r>
        <w:rPr>
          <w:rFonts w:ascii="Times New Roman" w:hAnsi="Times New Roman"/>
          <w:sz w:val="24"/>
          <w:vertAlign w:val="superscript"/>
        </w:rPr>
        <w:t>14</w:t>
      </w:r>
      <w:r>
        <w:rPr>
          <w:rFonts w:ascii="Times New Roman" w:hAnsi="Times New Roman"/>
          <w:sz w:val="24"/>
        </w:rPr>
        <w:t xml:space="preserve"> Schwenk and colleagues have drawn attention to lidocaine as a persistent cause of LAST-related mortality.</w:t>
      </w:r>
      <w:r>
        <w:rPr>
          <w:rFonts w:ascii="Times New Roman" w:hAnsi="Times New Roman"/>
          <w:sz w:val="24"/>
          <w:vertAlign w:val="superscript"/>
        </w:rPr>
        <w:t>15</w:t>
      </w:r>
      <w:r>
        <w:rPr>
          <w:rFonts w:ascii="Times New Roman" w:hAnsi="Times New Roman"/>
          <w:sz w:val="24"/>
        </w:rPr>
      </w:r>
    </w:p>
    <w:p>
      <w:r>
        <w:rPr>
          <w:rFonts w:ascii="Times New Roman" w:hAnsi="Times New Roman"/>
          <w:sz w:val="24"/>
        </w:rPr>
        <w:t>Despite this growing evidence base, a fundamental question remains underexplored: if the pharmacokinetic profile of local anesthetics after regional administration differs substantially from that after intravenous injection, can plasma concentration predictions derived from intravenous models be trusted when applied to regional routes? This question has immediate clinical relevance. In scenarios such as multisite blocks for polytrauma or bilateral fascial plane blocks, clinicians may approach or exceed traditional dose limits without apparent toxicity—an observation that route-dependent absorption readily explains. However, the same mechanism that accounts for this safety margin—slow tissue absorption with delayed peak plasma concentration—simultaneously demands a longer observation period for LAST, because the temporal window of maximum risk shifts later than intravenous models would predict. Building on a framework initially described in a preprint,</w:t>
      </w:r>
      <w:r>
        <w:rPr>
          <w:rFonts w:ascii="Times New Roman" w:hAnsi="Times New Roman"/>
          <w:sz w:val="24"/>
          <w:vertAlign w:val="superscript"/>
        </w:rPr>
        <w:t>33</w:t>
      </w:r>
      <w:r>
        <w:rPr>
          <w:rFonts w:ascii="Times New Roman" w:hAnsi="Times New Roman"/>
          <w:sz w:val="24"/>
        </w:rPr>
        <w:t xml:space="preserve"> this narrative review examines the evidence that route of administration critically determines local anesthetic absorption pharmacokinetics, explains why this has implications for both dose safety and monitoring duration, and argues that the field requires route-aware pharmacokinetic models to generate meaningful predictions for regional anesthesia.</w:t>
      </w:r>
    </w:p>
    <w:p>
      <w:pPr>
        <w:pStyle w:val="Heading1"/>
      </w:pPr>
      <w:r>
        <w:rPr>
          <w:rFonts w:ascii="Times New Roman" w:hAnsi="Times New Roman"/>
          <w:color w:val="000000"/>
        </w:rPr>
        <w:t>How current maximum dose recommendations were derived</w:t>
      </w:r>
    </w:p>
    <w:p>
      <w:r>
        <w:rPr>
          <w:rFonts w:ascii="Times New Roman" w:hAnsi="Times New Roman"/>
          <w:sz w:val="24"/>
        </w:rPr>
        <w:t>The maximum recommended doses for local anesthetics in widespread clinical use today trace their origins to studies conducted primarily in the 1960s and 1970s.</w:t>
      </w:r>
      <w:r>
        <w:rPr>
          <w:rFonts w:ascii="Times New Roman" w:hAnsi="Times New Roman"/>
          <w:sz w:val="24"/>
          <w:vertAlign w:val="superscript"/>
        </w:rPr>
        <w:t>3,4</w:t>
      </w:r>
      <w:r>
        <w:rPr>
          <w:rFonts w:ascii="Times New Roman" w:hAnsi="Times New Roman"/>
          <w:sz w:val="24"/>
        </w:rPr>
        <w:t xml:space="preserve"> These foundational studies measured plasma concentrations after intravenous infusion, subcutaneous infiltration, or intercostal nerve blocks—techniques that involve either direct intravascular drug delivery or injection into highly vascularized tissue with rapid systemic uptake. The dose-toxicity relationships derived from these data were then generalized into universal mg/kg limits intended to apply across all routes of local anesthetic administration.</w:t>
      </w:r>
      <w:r>
        <w:rPr>
          <w:rFonts w:ascii="Times New Roman" w:hAnsi="Times New Roman"/>
          <w:sz w:val="24"/>
          <w:vertAlign w:val="superscript"/>
        </w:rPr>
        <w:t>16</w:t>
      </w:r>
      <w:r>
        <w:rPr>
          <w:rFonts w:ascii="Times New Roman" w:hAnsi="Times New Roman"/>
          <w:sz w:val="24"/>
        </w:rPr>
      </w:r>
    </w:p>
    <w:p>
      <w:r>
        <w:rPr>
          <w:rFonts w:ascii="Times New Roman" w:hAnsi="Times New Roman"/>
          <w:sz w:val="24"/>
        </w:rPr>
        <w:t>It is important to recognize the safety logic underlying these limits. Maximum recommended doses are set conservatively, accounting for worst-case scenarios including the possibility of inadvertent intravascular injection or rapid absorption from highly vascular injection sites.</w:t>
      </w:r>
      <w:r>
        <w:rPr>
          <w:rFonts w:ascii="Times New Roman" w:hAnsi="Times New Roman"/>
          <w:sz w:val="24"/>
          <w:vertAlign w:val="superscript"/>
        </w:rPr>
        <w:t>1,2</w:t>
      </w:r>
      <w:r>
        <w:rPr>
          <w:rFonts w:ascii="Times New Roman" w:hAnsi="Times New Roman"/>
          <w:sz w:val="24"/>
        </w:rPr>
        <w:t xml:space="preserve"> This worst-case design philosophy is clinically rational: at the time of drug administration, the clinician cannot guarantee where the drug will ultimately reside. The dose limit must therefore protect against the most dangerous pharmacokinetic trajectory.</w:t>
      </w:r>
    </w:p>
    <w:p>
      <w:r>
        <w:rPr>
          <w:rFonts w:ascii="Times New Roman" w:hAnsi="Times New Roman"/>
          <w:sz w:val="24"/>
        </w:rPr>
        <w:t>However, the pharmacokinetic models that inform our understanding of local anesthetic behavior—and that are increasingly embedded in clinical decision support tools—have not evolved to reflect the diversity of administration routes in modern regional anesthesia practice. The same three-compartment parameters derived from intravenous studies are applied indiscriminately to fascial plane blocks, peripheral nerve blocks, and neuraxial techniques, generating plasma concentration predictions that may bear little relationship to actual drug levels after tissue-based deposition.</w:t>
      </w:r>
      <w:r>
        <w:rPr>
          <w:rFonts w:ascii="Times New Roman" w:hAnsi="Times New Roman"/>
          <w:sz w:val="24"/>
          <w:vertAlign w:val="superscript"/>
        </w:rPr>
        <w:t>17</w:t>
      </w:r>
      <w:r>
        <w:rPr>
          <w:rFonts w:ascii="Times New Roman" w:hAnsi="Times New Roman"/>
          <w:sz w:val="24"/>
        </w:rPr>
      </w:r>
    </w:p>
    <w:p>
      <w:pPr>
        <w:pStyle w:val="Heading1"/>
      </w:pPr>
      <w:r>
        <w:rPr>
          <w:rFonts w:ascii="Times New Roman" w:hAnsi="Times New Roman"/>
          <w:color w:val="000000"/>
        </w:rPr>
        <w:t>Evidence for route-dependent absorption</w:t>
      </w:r>
    </w:p>
    <w:p>
      <w:r>
        <w:rPr>
          <w:rFonts w:ascii="Times New Roman" w:hAnsi="Times New Roman"/>
          <w:sz w:val="24"/>
        </w:rPr>
        <w:t>Population pharmacokinetic studies of local anesthetics after regional blocks have consistently demonstrated absorption kinetics that differ profoundly from intravenous administration. Gaudreault and colleagues modeled ropivacaine pharmacokinetics after femoral nerve block using a two-compartment model with first-order absorption, demonstrating flip-flop kinetics where the absorption rate constant (ka) was slower than the elimination rate constant.</w:t>
      </w:r>
      <w:r>
        <w:rPr>
          <w:rFonts w:ascii="Times New Roman" w:hAnsi="Times New Roman"/>
          <w:sz w:val="24"/>
          <w:vertAlign w:val="superscript"/>
        </w:rPr>
        <w:t>11</w:t>
      </w:r>
      <w:r>
        <w:rPr>
          <w:rFonts w:ascii="Times New Roman" w:hAnsi="Times New Roman"/>
          <w:sz w:val="24"/>
        </w:rPr>
        <w:t xml:space="preserve"> This pharmacokinetic phenomenon—impossible to capture with an intravenous-input model—means that the terminal phase of the plasma concentration curve reflects absorption rather than elimination, fundamentally altering the interpretation of the concentration–time profile.</w:t>
      </w:r>
    </w:p>
    <w:p>
      <w:r>
        <w:rPr>
          <w:rFonts w:ascii="Times New Roman" w:hAnsi="Times New Roman"/>
          <w:sz w:val="24"/>
        </w:rPr>
        <w:t>Ling and colleagues developed a population pharmacokinetic model for ropivacaine after serratus anterior plane block, again demonstrating slow first-order absorption with ka values substantially lower than elimination rate constants.</w:t>
      </w:r>
      <w:r>
        <w:rPr>
          <w:rFonts w:ascii="Times New Roman" w:hAnsi="Times New Roman"/>
          <w:sz w:val="24"/>
          <w:vertAlign w:val="superscript"/>
        </w:rPr>
        <w:t>12</w:t>
      </w:r>
      <w:r>
        <w:rPr>
          <w:rFonts w:ascii="Times New Roman" w:hAnsi="Times New Roman"/>
          <w:sz w:val="24"/>
        </w:rPr>
        <w:t xml:space="preserve"> Tucker and colleagues showed similar absorption-limited pharmacokinetics for bupivacaine after intercostal and epidural administration, with peak plasma concentrations occurring 20–45 minutes post-injection depending on the site.</w:t>
      </w:r>
      <w:r>
        <w:rPr>
          <w:rFonts w:ascii="Times New Roman" w:hAnsi="Times New Roman"/>
          <w:sz w:val="24"/>
          <w:vertAlign w:val="superscript"/>
        </w:rPr>
        <w:t>13</w:t>
      </w:r>
      <w:r>
        <w:rPr>
          <w:rFonts w:ascii="Times New Roman" w:hAnsi="Times New Roman"/>
          <w:sz w:val="24"/>
        </w:rPr>
        <w:t xml:space="preserve"> More recently, De Cassai and colleagues demonstrated that epinephrine significantly alters absorption pharmacokinetics in fascial plane blocks, reducing both ka and Cmax—an effect that is entirely invisible to intravenous-derived models.</w:t>
      </w:r>
      <w:r>
        <w:rPr>
          <w:rFonts w:ascii="Times New Roman" w:hAnsi="Times New Roman"/>
          <w:sz w:val="24"/>
          <w:vertAlign w:val="superscript"/>
        </w:rPr>
        <w:t>14</w:t>
      </w:r>
      <w:r>
        <w:rPr>
          <w:rFonts w:ascii="Times New Roman" w:hAnsi="Times New Roman"/>
          <w:sz w:val="24"/>
        </w:rPr>
      </w:r>
    </w:p>
    <w:p>
      <w:r>
        <w:rPr>
          <w:rFonts w:ascii="Times New Roman" w:hAnsi="Times New Roman"/>
          <w:sz w:val="24"/>
        </w:rPr>
        <w:t>The magnitude of these differences is clinically significant. After a successful fascial plane block, reported ka values range from 0.02 to 0.08 min⁻¹, compared with effectively instantaneous input (ka → ∞) assumed by intravenous models.</w:t>
      </w:r>
      <w:r>
        <w:rPr>
          <w:rFonts w:ascii="Times New Roman" w:hAnsi="Times New Roman"/>
          <w:sz w:val="24"/>
          <w:vertAlign w:val="superscript"/>
        </w:rPr>
        <w:t>11-14</w:t>
      </w:r>
      <w:r>
        <w:rPr>
          <w:rFonts w:ascii="Times New Roman" w:hAnsi="Times New Roman"/>
          <w:sz w:val="24"/>
        </w:rPr>
        <w:t xml:space="preserve"> The resulting Cmax may be 3–5 fold lower than predicted by an intravenous-input model for the same dose, and Tmax may be delayed by 30–60 minutes.</w:t>
      </w:r>
      <w:r>
        <w:rPr>
          <w:rFonts w:ascii="Times New Roman" w:hAnsi="Times New Roman"/>
          <w:sz w:val="24"/>
          <w:vertAlign w:val="superscript"/>
        </w:rPr>
        <w:t>13,18</w:t>
      </w:r>
      <w:r>
        <w:rPr>
          <w:rFonts w:ascii="Times New Roman" w:hAnsi="Times New Roman"/>
          <w:sz w:val="24"/>
        </w:rPr>
        <w:t xml:space="preserve"> Figure 1 illustrates the structural difference between intravenous three-compartment models and depot-augmented models appropriate for regional anesthesia. Figure 2 presents simulated plasma concentration–time profiles demonstrating the marked differences in Cmax and Tmax that result from incorporating route-specific absorption parameters.</w:t>
      </w:r>
    </w:p>
    <w:p>
      <w:pPr>
        <w:pStyle w:val="Heading1"/>
      </w:pPr>
      <w:r>
        <w:rPr>
          <w:rFonts w:ascii="Times New Roman" w:hAnsi="Times New Roman"/>
          <w:color w:val="000000"/>
        </w:rPr>
        <w:t>Why intravenous-derived models are inappropriate for regional anesthesia</w:t>
      </w:r>
    </w:p>
    <w:p>
      <w:r>
        <w:rPr>
          <w:rFonts w:ascii="Times New Roman" w:hAnsi="Times New Roman"/>
          <w:sz w:val="24"/>
        </w:rPr>
        <w:t>The application of intravenous-derived pharmacokinetic models to regional anesthesia is not merely imprecise—it is structurally incorrect. Several specific limitations deserve emphasis.</w:t>
      </w:r>
    </w:p>
    <w:p>
      <w:r>
        <w:rPr>
          <w:rFonts w:ascii="Times New Roman" w:hAnsi="Times New Roman"/>
          <w:sz w:val="24"/>
        </w:rPr>
        <w:t>First, intravenous models lack a depot or absorption compartment. In regional anesthesia, drug must first be absorbed from the injection site before entering the plasma, a process characterized by an absorption rate constant (ka) and bioavailability (F) that vary with injection site, tissue vascularity, use of vasoconstrictors, and patient factors.</w:t>
      </w:r>
      <w:r>
        <w:rPr>
          <w:rFonts w:ascii="Times New Roman" w:hAnsi="Times New Roman"/>
          <w:sz w:val="24"/>
          <w:vertAlign w:val="superscript"/>
        </w:rPr>
        <w:t>9,10</w:t>
      </w:r>
      <w:r>
        <w:rPr>
          <w:rFonts w:ascii="Times New Roman" w:hAnsi="Times New Roman"/>
          <w:sz w:val="24"/>
        </w:rPr>
        <w:t xml:space="preserve"> Without this compartment, the model cannot represent the rate-limiting step that governs plasma concentration profiles after tissue-based deposition.</w:t>
      </w:r>
    </w:p>
    <w:p>
      <w:r>
        <w:rPr>
          <w:rFonts w:ascii="Times New Roman" w:hAnsi="Times New Roman"/>
          <w:sz w:val="24"/>
        </w:rPr>
        <w:t>Second, the inter-compartmental rate constants (k12, k21, k13, k31) in standard three-compartment models were estimated from intravenous administration data.</w:t>
      </w:r>
      <w:r>
        <w:rPr>
          <w:rFonts w:ascii="Times New Roman" w:hAnsi="Times New Roman"/>
          <w:sz w:val="24"/>
          <w:vertAlign w:val="superscript"/>
        </w:rPr>
        <w:t>5-8</w:t>
      </w:r>
      <w:r>
        <w:rPr>
          <w:rFonts w:ascii="Times New Roman" w:hAnsi="Times New Roman"/>
          <w:sz w:val="24"/>
        </w:rPr>
        <w:t xml:space="preserve"> These parameters describe redistribution after drug has already entered the plasma. When drug originates from a peripheral tissue depot, the initial conditions of the system are fundamentally different, and the redistribution dynamics may not follow the same trajectories.</w:t>
      </w:r>
    </w:p>
    <w:p>
      <w:r>
        <w:rPr>
          <w:rFonts w:ascii="Times New Roman" w:hAnsi="Times New Roman"/>
          <w:sz w:val="24"/>
        </w:rPr>
        <w:t>Third, protein binding dynamics differ between bolus intravenous administration—where free drug fraction spikes acutely as binding capacity is transiently overwhelmed—and slow tissue absorption, where protein binding is never saturated because drug enters the plasma gradually.</w:t>
      </w:r>
      <w:r>
        <w:rPr>
          <w:rFonts w:ascii="Times New Roman" w:hAnsi="Times New Roman"/>
          <w:sz w:val="24"/>
          <w:vertAlign w:val="superscript"/>
        </w:rPr>
        <w:t>19</w:t>
      </w:r>
      <w:r>
        <w:rPr>
          <w:rFonts w:ascii="Times New Roman" w:hAnsi="Times New Roman"/>
          <w:sz w:val="24"/>
        </w:rPr>
        <w:t xml:space="preserve"> Intravenous-derived models that do not account for this difference will overestimate free drug concentration after regional administration.</w:t>
      </w:r>
    </w:p>
    <w:p>
      <w:r>
        <w:rPr>
          <w:rFonts w:ascii="Times New Roman" w:hAnsi="Times New Roman"/>
          <w:sz w:val="24"/>
        </w:rPr>
        <w:t>Fourth, for neuraxial techniques, additional complexity arises. Epidural administration involves simultaneous absorption via epidural fat (depot), dural transfer into cerebrospinal fluid, and vascular uptake from the epidural venous plexus.</w:t>
      </w:r>
      <w:r>
        <w:rPr>
          <w:rFonts w:ascii="Times New Roman" w:hAnsi="Times New Roman"/>
          <w:sz w:val="24"/>
          <w:vertAlign w:val="superscript"/>
        </w:rPr>
        <w:t>9,20</w:t>
      </w:r>
      <w:r>
        <w:rPr>
          <w:rFonts w:ascii="Times New Roman" w:hAnsi="Times New Roman"/>
          <w:sz w:val="24"/>
        </w:rPr>
        <w:t xml:space="preserve"> While this multi-pathway absorption can be approximated by a depot model with modified absorption parameters, it cannot be represented at all by a model assuming direct plasma input.</w:t>
      </w:r>
    </w:p>
    <w:p>
      <w:r>
        <w:rPr>
          <w:rFonts w:ascii="Times New Roman" w:hAnsi="Times New Roman"/>
          <w:sz w:val="24"/>
        </w:rPr>
        <w:t>The consequence of these structural deficiencies is that intravenous-derived models will systematically overestimate peak plasma concentrations (Cmax) and underestimate time to peak (Tmax) when applied to regional routes where absorption is slow. Conversely, they cannot identify situations where absorption may be unexpectedly rapid (e.g., injection into a highly vascular tissue plane). In either case, the models generate predictions that do not reflect clinical reality.</w:t>
      </w:r>
      <w:r>
        <w:rPr>
          <w:rFonts w:ascii="Times New Roman" w:hAnsi="Times New Roman"/>
          <w:sz w:val="24"/>
          <w:vertAlign w:val="superscript"/>
        </w:rPr>
        <w:t>17,18</w:t>
      </w:r>
      <w:r>
        <w:rPr>
          <w:rFonts w:ascii="Times New Roman" w:hAnsi="Times New Roman"/>
          <w:sz w:val="24"/>
        </w:rPr>
      </w:r>
    </w:p>
    <w:p>
      <w:pPr>
        <w:pStyle w:val="Heading1"/>
      </w:pPr>
      <w:r>
        <w:rPr>
          <w:rFonts w:ascii="Times New Roman" w:hAnsi="Times New Roman"/>
          <w:color w:val="000000"/>
        </w:rPr>
        <w:t>Physiologically based pharmacokinetic modeling: a route-adaptive framework</w:t>
      </w:r>
    </w:p>
    <w:p>
      <w:r>
        <w:rPr>
          <w:rFonts w:ascii="Times New Roman" w:hAnsi="Times New Roman"/>
          <w:sz w:val="24"/>
        </w:rPr>
        <w:t>Physiologically based pharmacokinetic (PBPK) models offer a fundamentally different approach to simulating drug disposition. Rather than using abstract compartments with empirically estimated transfer constants, PBPK models divide the body into anatomically and physiologically defined organ compartments, each characterized by known blood flow, tissue volume, partition coefficients, and metabolic capacity.</w:t>
      </w:r>
      <w:r>
        <w:rPr>
          <w:rFonts w:ascii="Times New Roman" w:hAnsi="Times New Roman"/>
          <w:sz w:val="24"/>
          <w:vertAlign w:val="superscript"/>
        </w:rPr>
        <w:t>21,22</w:t>
      </w:r>
      <w:r>
        <w:rPr>
          <w:rFonts w:ascii="Times New Roman" w:hAnsi="Times New Roman"/>
          <w:sz w:val="24"/>
        </w:rPr>
        <w:t xml:space="preserve"> This mechanistic framework naturally accommodates different routes of administration by specifying the initial site of drug deposition.</w:t>
      </w:r>
    </w:p>
    <w:p>
      <w:r>
        <w:rPr>
          <w:rFonts w:ascii="Times New Roman" w:hAnsi="Times New Roman"/>
          <w:sz w:val="24"/>
        </w:rPr>
        <w:t>The Open Systems Pharmacology (OSP) platform, comprising PK-Sim and MoBi, is a freely available, open-source PBPK modeling suite that has been qualified by the European Medicines Agency and is widely used in drug development and regulatory science.</w:t>
      </w:r>
      <w:r>
        <w:rPr>
          <w:rFonts w:ascii="Times New Roman" w:hAnsi="Times New Roman"/>
          <w:sz w:val="24"/>
          <w:vertAlign w:val="superscript"/>
        </w:rPr>
        <w:t>23,24</w:t>
      </w:r>
      <w:r>
        <w:rPr>
          <w:rFonts w:ascii="Times New Roman" w:hAnsi="Times New Roman"/>
          <w:sz w:val="24"/>
        </w:rPr>
        <w:t xml:space="preserve"> PK-Sim supports multiple administration routes including intravenous, intramuscular, and subcutaneous injection, each with route-specific absorption models.</w:t>
      </w:r>
      <w:r>
        <w:rPr>
          <w:rFonts w:ascii="Times New Roman" w:hAnsi="Times New Roman"/>
          <w:sz w:val="24"/>
          <w:vertAlign w:val="superscript"/>
        </w:rPr>
        <w:t>25</w:t>
      </w:r>
      <w:r>
        <w:rPr>
          <w:rFonts w:ascii="Times New Roman" w:hAnsi="Times New Roman"/>
          <w:sz w:val="24"/>
        </w:rPr>
        <w:t xml:space="preserve"> The intramuscular and subcutaneous routes incorporate depot compartments with tissue-specific absorption kinetics.</w:t>
      </w:r>
    </w:p>
    <w:p>
      <w:r>
        <w:rPr>
          <w:rFonts w:ascii="Times New Roman" w:hAnsi="Times New Roman"/>
          <w:sz w:val="24"/>
        </w:rPr>
        <w:t>For regional anesthesia applications, PK-Sim and MoBi could be configured to model drug deposition into tissue compartments with characteristics appropriate to the injection site—for example, low blood flow for fascial tissue (approximating a fascial plane block) or higher blood flow for well-perfused perineural structures.</w:t>
      </w:r>
      <w:r>
        <w:rPr>
          <w:rFonts w:ascii="Times New Roman" w:hAnsi="Times New Roman"/>
          <w:sz w:val="24"/>
          <w:vertAlign w:val="superscript"/>
        </w:rPr>
        <w:t>25</w:t>
      </w:r>
      <w:r>
        <w:rPr>
          <w:rFonts w:ascii="Times New Roman" w:hAnsi="Times New Roman"/>
          <w:sz w:val="24"/>
        </w:rPr>
        <w:t xml:space="preserve"> MoBi further allows definition of custom compartments and initial conditions, enabling simulation of absorption from various regional anesthesia injection sites with site-specific parameters derived from published population pharmacokinetic data.</w:t>
      </w:r>
      <w:r>
        <w:rPr>
          <w:rFonts w:ascii="Times New Roman" w:hAnsi="Times New Roman"/>
          <w:sz w:val="24"/>
          <w:vertAlign w:val="superscript"/>
        </w:rPr>
        <w:t>11-14</w:t>
      </w:r>
      <w:r>
        <w:rPr>
          <w:rFonts w:ascii="Times New Roman" w:hAnsi="Times New Roman"/>
          <w:sz w:val="24"/>
        </w:rPr>
      </w:r>
    </w:p>
    <w:p>
      <w:r>
        <w:rPr>
          <w:rFonts w:ascii="Times New Roman" w:hAnsi="Times New Roman"/>
          <w:sz w:val="24"/>
        </w:rPr>
        <w:t>The practical value of a PBPK approach is that it generates plasma concentration predictions that are appropriate for the specific route of administration. Rather than applying a single model universally, the simulation would select absorption parameters appropriate to the documented block type, producing predictions that reflect the actual pharmacokinetic trajectory. Figure 3 illustrates a proposed workflow for PBPK-based route-specific pharmacokinetic simulation.</w:t>
      </w:r>
    </w:p>
    <w:p>
      <w:r>
        <w:rPr>
          <w:rFonts w:ascii="Times New Roman" w:hAnsi="Times New Roman"/>
          <w:sz w:val="24"/>
        </w:rPr>
        <w:t>The technical feasibility of this approach is supported by several observations. The mathematical framework for depot-augmented compartment models is well established and computationally inexpensive.</w:t>
      </w:r>
      <w:r>
        <w:rPr>
          <w:rFonts w:ascii="Times New Roman" w:hAnsi="Times New Roman"/>
          <w:sz w:val="24"/>
          <w:vertAlign w:val="superscript"/>
        </w:rPr>
        <w:t>11-13</w:t>
      </w:r>
      <w:r>
        <w:rPr>
          <w:rFonts w:ascii="Times New Roman" w:hAnsi="Times New Roman"/>
          <w:sz w:val="24"/>
        </w:rPr>
        <w:t xml:space="preserve"> Population pharmacokinetic parameters for local anesthetics after various regional techniques are increasingly available in the literature, providing data to parameterize route-specific models.</w:t>
      </w:r>
      <w:r>
        <w:rPr>
          <w:rFonts w:ascii="Times New Roman" w:hAnsi="Times New Roman"/>
          <w:sz w:val="24"/>
          <w:vertAlign w:val="superscript"/>
        </w:rPr>
        <w:t>9,10,12,14</w:t>
      </w:r>
      <w:r>
        <w:rPr>
          <w:rFonts w:ascii="Times New Roman" w:hAnsi="Times New Roman"/>
          <w:sz w:val="24"/>
        </w:rPr>
        <w:t xml:space="preserve"> Modern AIMS already implement real-time pharmacokinetic simulation for intravenous agents, demonstrating that the computational infrastructure exists.</w:t>
      </w:r>
      <w:r>
        <w:rPr>
          <w:rFonts w:ascii="Times New Roman" w:hAnsi="Times New Roman"/>
          <w:sz w:val="24"/>
          <w:vertAlign w:val="superscript"/>
        </w:rPr>
        <w:t>7,8</w:t>
      </w:r>
      <w:r>
        <w:rPr>
          <w:rFonts w:ascii="Times New Roman" w:hAnsi="Times New Roman"/>
          <w:sz w:val="24"/>
        </w:rPr>
        <w:t xml:space="preserve"> The principal barrier is conceptual: the recognition that a single pharmacokinetic model cannot adequately describe drug behavior across fundamentally different routes of administration.</w:t>
      </w:r>
    </w:p>
    <w:p>
      <w:pPr>
        <w:pStyle w:val="Heading1"/>
      </w:pPr>
      <w:r>
        <w:rPr>
          <w:rFonts w:ascii="Times New Roman" w:hAnsi="Times New Roman"/>
          <w:color w:val="000000"/>
        </w:rPr>
        <w:t>Safety considerations</w:t>
      </w:r>
    </w:p>
    <w:p>
      <w:r>
        <w:rPr>
          <w:rFonts w:ascii="Times New Roman" w:hAnsi="Times New Roman"/>
          <w:sz w:val="24"/>
        </w:rPr>
        <w:t>It is essential to state explicitly that this review does not advocate exceeding or modifying current maximum recommended doses for local anesthetics. The existing dose limits are designed to protect against worst-case pharmacokinetic scenarios—including inadvertent intravascular injection—and this conservative approach is clinically appropriate.</w:t>
      </w:r>
      <w:r>
        <w:rPr>
          <w:rFonts w:ascii="Times New Roman" w:hAnsi="Times New Roman"/>
          <w:sz w:val="24"/>
          <w:vertAlign w:val="superscript"/>
        </w:rPr>
        <w:t>1,2</w:t>
      </w:r>
      <w:r>
        <w:rPr>
          <w:rFonts w:ascii="Times New Roman" w:hAnsi="Times New Roman"/>
          <w:sz w:val="24"/>
        </w:rPr>
        <w:t xml:space="preserve"> At the time of drug administration, the clinician cannot guarantee the ultimate pharmacokinetic fate of the injected dose. Dose limits must therefore remain protective against the most dangerous absorption trajectory.</w:t>
      </w:r>
    </w:p>
    <w:p>
      <w:r>
        <w:rPr>
          <w:rFonts w:ascii="Times New Roman" w:hAnsi="Times New Roman"/>
          <w:sz w:val="24"/>
        </w:rPr>
        <w:t>The argument presented here is distinct from a call for dose limit revision. I argue that the pharmacokinetic models used to understand, predict, and display local anesthetic plasma concentrations should be accurate for the route of administration being employed. Using intravenous-derived models to generate predictions for regional routes creates a different kind of risk: it produces numbers that clinicians may interpret as meaningful when they are in fact structurally inappropriate for the clinical context. A plasma concentration prediction from an intravenous-input model after a fascial plane block is not wrong because it is too high or too low—it is wrong because the model does not represent the pharmacokinetic system in question.</w:t>
      </w:r>
    </w:p>
    <w:p>
      <w:r>
        <w:rPr>
          <w:rFonts w:ascii="Times New Roman" w:hAnsi="Times New Roman"/>
          <w:sz w:val="24"/>
        </w:rPr>
        <w:t>Route-aware pharmacokinetic modeling, if validated, could improve clinical understanding without compromising safety. It would provide a more accurate scientific framework for interpreting plasma concentration data after regional blocks, for designing pharmacokinetic studies, and for future evidence-based discussions about dose optimization—discussions that should be grounded in pharmacokinetic reality rather than extrapolation from intravenous data.</w:t>
      </w:r>
    </w:p>
    <w:p>
      <w:pPr>
        <w:pStyle w:val="Heading1"/>
      </w:pPr>
      <w:r>
        <w:rPr>
          <w:rFonts w:ascii="Times New Roman" w:hAnsi="Times New Roman"/>
          <w:color w:val="000000"/>
        </w:rPr>
        <w:t>Clinical implication: delayed peak and monitoring windows</w:t>
      </w:r>
    </w:p>
    <w:p>
      <w:r>
        <w:rPr>
          <w:rFonts w:ascii="Times New Roman" w:hAnsi="Times New Roman"/>
          <w:sz w:val="24"/>
        </w:rPr>
        <w:t>One immediate clinical consequence of route-dependent absorption kinetics concerns the timing of monitoring for LAST. When intravenous-derived models are used to conceptualize local anesthetic pharmacokinetics, peak plasma concentration is expected to occur within minutes of administration—consistent with intravenous bolus kinetics. Current monitoring recommendations for LAST reflect this assumption, with observation periods typically focused on the first 15–30 minutes after injection.</w:t>
      </w:r>
      <w:r>
        <w:rPr>
          <w:rFonts w:ascii="Times New Roman" w:hAnsi="Times New Roman"/>
          <w:sz w:val="24"/>
          <w:vertAlign w:val="superscript"/>
        </w:rPr>
        <w:t>1,31</w:t>
      </w:r>
      <w:r>
        <w:rPr>
          <w:rFonts w:ascii="Times New Roman" w:hAnsi="Times New Roman"/>
          <w:sz w:val="24"/>
        </w:rPr>
        <w:t xml:space="preserve"> However, if absorption from a tissue depot follows first-order kinetics with the low ka values reported in population pharmacokinetic studies (0.02–0.08 min⁻¹), the true Tmax occurs considerably later—often 30–60 minutes or more after injection.</w:t>
      </w:r>
      <w:r>
        <w:rPr>
          <w:rFonts w:ascii="Times New Roman" w:hAnsi="Times New Roman"/>
          <w:sz w:val="24"/>
          <w:vertAlign w:val="superscript"/>
        </w:rPr>
        <w:t>11-14,18</w:t>
      </w:r>
      <w:r>
        <w:rPr>
          <w:rFonts w:ascii="Times New Roman" w:hAnsi="Times New Roman"/>
          <w:sz w:val="24"/>
        </w:rPr>
      </w:r>
    </w:p>
    <w:p>
      <w:r>
        <w:rPr>
          <w:rFonts w:ascii="Times New Roman" w:hAnsi="Times New Roman"/>
          <w:sz w:val="24"/>
        </w:rPr>
        <w:t>This temporal shift has direct implications for patient safety. A clinician who terminates LAST monitoring 30 minutes after a fascial plane block—reasoning that the high-risk window has passed—may in fact be discharging the patient before peak plasma concentration has been reached. Route-aware pharmacokinetic modeling would make this discrepancy visible: a simulation incorporating the appropriate absorption rate constant would predict a later Tmax and thereby inform a longer, appropriately timed observation period. This represents a concrete clinical scenario where intravenous-derived models produce not merely inaccurate predictions but potentially dangerous ones—not because they overestimate the dose risk, but because they mislocate the risk in time.</w:t>
      </w:r>
    </w:p>
    <w:p>
      <w:r>
        <w:rPr>
          <w:rFonts w:ascii="Times New Roman" w:hAnsi="Times New Roman"/>
          <w:sz w:val="24"/>
        </w:rPr>
        <w:t>Conversely, when a large cumulative dose is administered across multiple sites (as in polytrauma or multisite fascial plane blocks), the superposition of delayed absorption profiles from each injection site may produce a cumulative Cmax that occurs well after the final injection. An intravenous-input model would predict that the highest-risk period occurs immediately after the last dose, whereas route-aware modeling would correctly identify the delayed convergence of multiple absorption curves as the period of greatest concern.</w:t>
      </w:r>
      <w:r>
        <w:rPr>
          <w:rFonts w:ascii="Times New Roman" w:hAnsi="Times New Roman"/>
          <w:sz w:val="24"/>
          <w:vertAlign w:val="superscript"/>
        </w:rPr>
        <w:t>32</w:t>
      </w:r>
      <w:r>
        <w:rPr>
          <w:rFonts w:ascii="Times New Roman" w:hAnsi="Times New Roman"/>
          <w:sz w:val="24"/>
        </w:rPr>
      </w:r>
    </w:p>
    <w:p>
      <w:pPr>
        <w:pStyle w:val="Heading1"/>
      </w:pPr>
      <w:r>
        <w:rPr>
          <w:rFonts w:ascii="Times New Roman" w:hAnsi="Times New Roman"/>
          <w:color w:val="000000"/>
        </w:rPr>
        <w:t>Future directions</w:t>
      </w:r>
    </w:p>
    <w:p>
      <w:r>
        <w:rPr>
          <w:rFonts w:ascii="Times New Roman" w:hAnsi="Times New Roman"/>
          <w:sz w:val="24"/>
        </w:rPr>
        <w:t>Advancing route-aware pharmacokinetic modeling for regional anesthesia requires progress on several fronts. First, systematic measurement of plasma concentration profiles after various regional block types is needed, with standardized reporting of absorption parameters (ka, Tmax, Cmax, bioavailability) to enable cross-study comparison and model parameterization.</w:t>
      </w:r>
      <w:r>
        <w:rPr>
          <w:rFonts w:ascii="Times New Roman" w:hAnsi="Times New Roman"/>
          <w:sz w:val="24"/>
          <w:vertAlign w:val="superscript"/>
        </w:rPr>
        <w:t>26,27</w:t>
      </w:r>
      <w:r>
        <w:rPr>
          <w:rFonts w:ascii="Times New Roman" w:hAnsi="Times New Roman"/>
          <w:sz w:val="24"/>
        </w:rPr>
        <w:t xml:space="preserve"> Second, PBPK models for local anesthetics incorporating tissue-specific absorption from injection sites should be developed and validated against published clinical data using openly available platforms such as PK-Sim and MoBi.</w:t>
      </w:r>
      <w:r>
        <w:rPr>
          <w:rFonts w:ascii="Times New Roman" w:hAnsi="Times New Roman"/>
          <w:sz w:val="24"/>
          <w:vertAlign w:val="superscript"/>
        </w:rPr>
        <w:t>23-25</w:t>
      </w:r>
      <w:r>
        <w:rPr>
          <w:rFonts w:ascii="Times New Roman" w:hAnsi="Times New Roman"/>
          <w:sz w:val="24"/>
        </w:rPr>
        <w:t xml:space="preserve"> Third, the influence of patient-specific factors (body composition, age, hepatic function) and technique-specific factors (use of vasoconstrictors, injection volume, ultrasound-confirmed spread) on absorption parameters should be characterized.</w:t>
      </w:r>
      <w:r>
        <w:rPr>
          <w:rFonts w:ascii="Times New Roman" w:hAnsi="Times New Roman"/>
          <w:sz w:val="24"/>
          <w:vertAlign w:val="superscript"/>
        </w:rPr>
        <w:t>14,28</w:t>
      </w:r>
      <w:r>
        <w:rPr>
          <w:rFonts w:ascii="Times New Roman" w:hAnsi="Times New Roman"/>
          <w:sz w:val="24"/>
        </w:rPr>
      </w:r>
    </w:p>
    <w:p>
      <w:r>
        <w:rPr>
          <w:rFonts w:ascii="Times New Roman" w:hAnsi="Times New Roman"/>
          <w:sz w:val="24"/>
        </w:rPr>
        <w:t>In the longer term, validated route-specific models could be incorporated into clinical decision support tools within AIMS, providing pharmacokinetic predictions that are appropriate for the documented administration route.</w:t>
      </w:r>
      <w:r>
        <w:rPr>
          <w:rFonts w:ascii="Times New Roman" w:hAnsi="Times New Roman"/>
          <w:sz w:val="24"/>
          <w:vertAlign w:val="superscript"/>
        </w:rPr>
        <w:t>29,30</w:t>
      </w:r>
      <w:r>
        <w:rPr>
          <w:rFonts w:ascii="Times New Roman" w:hAnsi="Times New Roman"/>
          <w:sz w:val="24"/>
        </w:rPr>
        <w:t xml:space="preserve"> Such tools would complement—not replace—existing dose limits, offering clinicians an additional layer of pharmacokinetic information calibrated to the specific clinical scenario. However, integration into clinical systems should await rigorous validation of route-specific models against prospective pharmacokinetic data.</w:t>
      </w:r>
    </w:p>
    <w:p>
      <w:pPr>
        <w:pStyle w:val="Heading1"/>
      </w:pPr>
      <w:r>
        <w:rPr>
          <w:rFonts w:ascii="Times New Roman" w:hAnsi="Times New Roman"/>
          <w:color w:val="000000"/>
        </w:rPr>
        <w:t>Limitations</w:t>
      </w:r>
    </w:p>
    <w:p>
      <w:r>
        <w:rPr>
          <w:rFonts w:ascii="Times New Roman" w:hAnsi="Times New Roman"/>
          <w:sz w:val="24"/>
        </w:rPr>
        <w:t>Several limitations of this narrative review should be acknowledged. The pharmacokinetic parameters for local anesthetic absorption from specific regional injection sites are incompletely characterized, and published data are limited to a small number of block types and patient populations. Individual variation in tissue vascularity, protein binding, and hepatic clearance introduces substantial uncertainty into any simulation, whether intravenous-derived or route-specific.</w:t>
      </w:r>
      <w:r>
        <w:rPr>
          <w:rFonts w:ascii="Times New Roman" w:hAnsi="Times New Roman"/>
          <w:sz w:val="24"/>
          <w:vertAlign w:val="superscript"/>
        </w:rPr>
        <w:t>19</w:t>
      </w:r>
      <w:r>
        <w:rPr>
          <w:rFonts w:ascii="Times New Roman" w:hAnsi="Times New Roman"/>
          <w:sz w:val="24"/>
        </w:rPr>
        <w:t xml:space="preserve"> Additionally, the clinical success of a block—which determines what proportion of drug remains in vessel-poor tissue versus is rapidly absorbed—cannot be precisely determined at the time of injection, and absorption from any given injection site exists on a continuum rather than as discrete scenarios.</w:t>
      </w:r>
      <w:r>
        <w:rPr>
          <w:rFonts w:ascii="Times New Roman" w:hAnsi="Times New Roman"/>
          <w:sz w:val="24"/>
          <w:vertAlign w:val="superscript"/>
        </w:rPr>
        <w:t>31</w:t>
      </w:r>
      <w:r>
        <w:rPr>
          <w:rFonts w:ascii="Times New Roman" w:hAnsi="Times New Roman"/>
          <w:sz w:val="24"/>
        </w:rPr>
      </w:r>
    </w:p>
    <w:p>
      <w:r>
        <w:rPr>
          <w:rFonts w:ascii="Times New Roman" w:hAnsi="Times New Roman"/>
          <w:sz w:val="24"/>
        </w:rPr>
        <w:t>The PBPK approach described here has not yet been validated for regional anesthesia applications. While the OSP platform has extensive validation for oral and intravenous drug administration,</w:t>
      </w:r>
      <w:r>
        <w:rPr>
          <w:rFonts w:ascii="Times New Roman" w:hAnsi="Times New Roman"/>
          <w:sz w:val="24"/>
          <w:vertAlign w:val="superscript"/>
        </w:rPr>
        <w:t>23,24</w:t>
      </w:r>
      <w:r>
        <w:rPr>
          <w:rFonts w:ascii="Times New Roman" w:hAnsi="Times New Roman"/>
          <w:sz w:val="24"/>
        </w:rPr>
        <w:t xml:space="preserve"> its application to tissue depot absorption from regional anesthesia injection sites would require dedicated validation studies. Until such validation is complete, route-specific simulations should be regarded as hypothesis-generating rather than clinically prescriptive.</w:t>
      </w:r>
    </w:p>
    <w:p>
      <w:pPr>
        <w:pStyle w:val="Heading1"/>
      </w:pPr>
      <w:r>
        <w:rPr>
          <w:rFonts w:ascii="Times New Roman" w:hAnsi="Times New Roman"/>
          <w:color w:val="000000"/>
        </w:rPr>
        <w:t>Conclusions</w:t>
      </w:r>
    </w:p>
    <w:p>
      <w:r>
        <w:rPr>
          <w:rFonts w:ascii="Times New Roman" w:hAnsi="Times New Roman"/>
          <w:sz w:val="24"/>
        </w:rPr>
        <w:t>The pharmacokinetic models currently applied to local anesthetics in regional anesthesia were derived from intravenous administration data and assume drug input directly into the central plasma compartment. This assumption is structurally incorrect for regional techniques, where drug is deposited into tissue and absorbed at rates determined by site-specific factors. Population pharmacokinetic studies consistently demonstrate that absorption after regional blocks produces lower Cmax values, delayed Tmax, and different overall exposure profiles compared with intravenous predictions.</w:t>
      </w:r>
    </w:p>
    <w:p>
      <w:r>
        <w:rPr>
          <w:rFonts w:ascii="Times New Roman" w:hAnsi="Times New Roman"/>
          <w:sz w:val="24"/>
        </w:rPr>
        <w:t>Route-dependent absorption has two inseparable clinical consequences. On one hand, slow tissue absorption explains why clinicians can administer doses exceeding traditional limits for certain fascial plane and peripheral nerve blocks without triggering systemic toxicity—the intravenous-derived models overestimate the true Cmax for these scenarios. On the other hand, the same delayed absorption means that peak plasma concentrations occur later than intravenous models predict, requiring extended monitoring periods to capture the true window of maximum risk. These are two sides of the same pharmacokinetic coin, and both demand route-aware modeling for proper understanding.</w:t>
      </w:r>
    </w:p>
    <w:p>
      <w:r>
        <w:rPr>
          <w:rFonts w:ascii="Times New Roman" w:hAnsi="Times New Roman"/>
          <w:sz w:val="24"/>
        </w:rPr>
        <w:t>PBPK platforms such as PK-Sim and MoBi provide the mechanistic framework to develop route-aware simulations that account for the initial site of drug deposition. While current maximum dose recommendations should continue to be followed, the pharmacokinetic science underlying our understanding of local anesthetic behavior in regional anesthesia must evolve to incorporate route of administration as a fundamental model parameter. Better models will yield both a more accurate assessment of dose safety and a more appropriate determination of monitoring duration—advancing both efficacy and safety in regional anesthesia practice.</w:t>
      </w:r>
    </w:p>
    <w:p>
      <w:pPr>
        <w:pStyle w:val="Heading1"/>
      </w:pPr>
      <w:r>
        <w:rPr>
          <w:rFonts w:ascii="Times New Roman" w:hAnsi="Times New Roman"/>
          <w:color w:val="000000"/>
        </w:rPr>
        <w:t>Declaration of interest</w:t>
      </w:r>
    </w:p>
    <w:p>
      <w:r>
        <w:rPr>
          <w:rFonts w:ascii="Times New Roman" w:hAnsi="Times New Roman"/>
          <w:b w:val="0"/>
          <w:i w:val="0"/>
          <w:sz w:val="24"/>
        </w:rPr>
        <w:t>The author declares no conflicts of interest.</w:t>
      </w:r>
    </w:p>
    <w:p>
      <w:pPr>
        <w:pStyle w:val="Heading1"/>
      </w:pPr>
      <w:r>
        <w:rPr>
          <w:rFonts w:ascii="Times New Roman" w:hAnsi="Times New Roman"/>
          <w:color w:val="000000"/>
        </w:rPr>
        <w:t>Funding</w:t>
      </w:r>
    </w:p>
    <w:p>
      <w:r>
        <w:rPr>
          <w:rFonts w:ascii="Times New Roman" w:hAnsi="Times New Roman"/>
          <w:b w:val="0"/>
          <w:i w:val="0"/>
          <w:sz w:val="24"/>
        </w:rPr>
        <w:t>This work received no external funding.</w:t>
      </w:r>
    </w:p>
    <w:p>
      <w:pPr>
        <w:pStyle w:val="Heading1"/>
      </w:pPr>
      <w:r>
        <w:rPr>
          <w:rFonts w:ascii="Times New Roman" w:hAnsi="Times New Roman"/>
          <w:color w:val="000000"/>
        </w:rPr>
        <w:t>Acknowledgments</w:t>
      </w:r>
    </w:p>
    <w:p>
      <w:r>
        <w:rPr>
          <w:rFonts w:ascii="Times New Roman" w:hAnsi="Times New Roman"/>
          <w:b w:val="0"/>
          <w:i w:val="0"/>
          <w:sz w:val="24"/>
        </w:rPr>
        <w:t>The author thanks Caffè Punteggiatura for providing the environment in which the ideas for this work were conceived and developed.</w:t>
      </w:r>
    </w:p>
    <w:p>
      <w:pPr>
        <w:pStyle w:val="Heading1"/>
      </w:pPr>
      <w:r>
        <w:rPr>
          <w:rFonts w:ascii="Times New Roman" w:hAnsi="Times New Roman"/>
          <w:color w:val="000000"/>
        </w:rPr>
        <w:t>Declaration of generative artificial intelligence (AI) in scientific writing</w:t>
      </w:r>
    </w:p>
    <w:p>
      <w:r>
        <w:rPr>
          <w:rFonts w:ascii="Times New Roman" w:hAnsi="Times New Roman"/>
          <w:b w:val="0"/>
          <w:i w:val="0"/>
          <w:sz w:val="24"/>
        </w:rPr>
        <w:t>The author used AI-assisted tools (language model) for manuscript preparation and editing. The author takes full responsibility for the content, scientific accuracy, and integrity of this work.</w:t>
      </w:r>
    </w:p>
    <w:p>
      <w:r>
        <w:br w:type="page"/>
      </w:r>
    </w:p>
    <w:p>
      <w:pPr>
        <w:pStyle w:val="Heading1"/>
      </w:pPr>
      <w:r>
        <w:rPr>
          <w:rFonts w:ascii="Times New Roman" w:hAnsi="Times New Roman"/>
          <w:color w:val="000000"/>
        </w:rPr>
        <w:t>Figure Legends</w:t>
      </w:r>
    </w:p>
    <w:p>
      <w:r>
        <w:rPr>
          <w:rFonts w:ascii="Times New Roman" w:hAnsi="Times New Roman"/>
          <w:sz w:val="24"/>
        </w:rPr>
        <w:t>Figure 1. Comparison of pharmacokinetic model structures for intravenous and regional administration. (A) Standard three-compartment intravenous model with drug entering the central plasma compartment (V1) directly. (B) Depot-augmented model for regional anesthesia with drug deposited into a tissue depot compartment, from which first-order absorption (rate constant ka) governs entry into the central compartment. V1, central compartment (plasma); V2, rapidly equilibrating peripheral compartment (vessel-rich tissues); V3, slowly equilibrating peripheral compartment (vessel-poor tissues); CL, clearance; ka, absorption rate constant; F, bioavailability.</w:t>
      </w:r>
    </w:p>
    <w:p>
      <w:r>
        <w:rPr>
          <w:rFonts w:ascii="Times New Roman" w:hAnsi="Times New Roman"/>
          <w:b w:val="0"/>
          <w:i w:val="0"/>
          <w:sz w:val="24"/>
        </w:rPr>
      </w:r>
    </w:p>
    <w:p>
      <w:r>
        <w:rPr>
          <w:rFonts w:ascii="Times New Roman" w:hAnsi="Times New Roman"/>
          <w:sz w:val="24"/>
        </w:rPr>
        <w:t>Figure 2. Simulated plasma concentration–time profiles demonstrating the effect of route of administration on local anesthetic pharmacokinetics. Blue solid line: intravenous bolus (standard three-compartment model). Red dashed line: rapid absorption (ka = 0.1 min⁻¹, representing highly vascular injection site). Green dash-dot line: slow absorption (ka = 0.03 min⁻¹, representing fascial plane deposition). Horizontal dashed lines indicate reported thresholds for central nervous system (CNS) and cardiovascular (CVS) toxicity. Note the marked differences in peak plasma concentration (Cmax) and time to peak (Tmax) depending on the absorption rate.</w:t>
      </w:r>
    </w:p>
    <w:p>
      <w:r>
        <w:rPr>
          <w:rFonts w:ascii="Times New Roman" w:hAnsi="Times New Roman"/>
          <w:b w:val="0"/>
          <w:i w:val="0"/>
          <w:sz w:val="24"/>
        </w:rPr>
      </w:r>
    </w:p>
    <w:p>
      <w:r>
        <w:rPr>
          <w:rFonts w:ascii="Times New Roman" w:hAnsi="Times New Roman"/>
          <w:sz w:val="24"/>
        </w:rPr>
        <w:t>Figure 3. Proposed workflow for development and validation of route-specific pharmacokinetic models for regional anesthesia. Step 1: Published population pharmacokinetic data provide block-type-specific absorption parameters. Step 2: PBPK model configuration using PK-Sim/MoBi with route-specific initial conditions. Step 3: Model validation against independent clinical pharmacokinetic datasets. Step 4: If validated, potential integration into clinical decision support tools as a complement to existing dose limits.</w:t>
      </w:r>
    </w:p>
    <w:p>
      <w:r>
        <w:br w:type="page"/>
      </w:r>
    </w:p>
    <w:p>
      <w:pPr>
        <w:pStyle w:val="Heading1"/>
      </w:pPr>
      <w:r>
        <w:rPr>
          <w:rFonts w:ascii="Times New Roman" w:hAnsi="Times New Roman"/>
          <w:color w:val="000000"/>
        </w:rPr>
        <w:t>References</w:t>
      </w:r>
    </w:p>
    <w:p>
      <w:r>
        <w:rPr>
          <w:rFonts w:ascii="Times New Roman" w:hAnsi="Times New Roman"/>
          <w:sz w:val="20"/>
        </w:rPr>
        <w:t xml:space="preserve">1. </w:t>
      </w:r>
      <w:r>
        <w:rPr>
          <w:rFonts w:ascii="Times New Roman" w:hAnsi="Times New Roman"/>
          <w:sz w:val="20"/>
        </w:rPr>
        <w:t>El-Boghdadly K, Pawa A, Chin KJ. Local anesthetic systemic toxicity: current perspectives. Local Reg Anesth. 2018;11:35-44.</w:t>
      </w:r>
    </w:p>
    <w:p>
      <w:r>
        <w:rPr>
          <w:rFonts w:ascii="Times New Roman" w:hAnsi="Times New Roman"/>
          <w:sz w:val="20"/>
        </w:rPr>
        <w:t xml:space="preserve">2. </w:t>
      </w:r>
      <w:r>
        <w:rPr>
          <w:rFonts w:ascii="Times New Roman" w:hAnsi="Times New Roman"/>
          <w:sz w:val="20"/>
        </w:rPr>
        <w:t>Vasques F, Behr AU, Weinberg G, Ori C, Di Gregorio G. A review of local anesthetic systemic toxicity cases since publication of the American Society of Regional Anesthesia recommendations. Reg Anesth Pain Med. 2015;40(6):698-705.</w:t>
      </w:r>
    </w:p>
    <w:p>
      <w:r>
        <w:rPr>
          <w:rFonts w:ascii="Times New Roman" w:hAnsi="Times New Roman"/>
          <w:sz w:val="20"/>
        </w:rPr>
        <w:t xml:space="preserve">3. </w:t>
      </w:r>
      <w:r>
        <w:rPr>
          <w:rFonts w:ascii="Times New Roman" w:hAnsi="Times New Roman"/>
          <w:sz w:val="20"/>
        </w:rPr>
        <w:t>Tucker GT, Mather LE. Clinical pharmacokinetics of local anaesthetics. Clin Pharmacokinet. 1979;4(4):241-278.</w:t>
      </w:r>
    </w:p>
    <w:p>
      <w:r>
        <w:rPr>
          <w:rFonts w:ascii="Times New Roman" w:hAnsi="Times New Roman"/>
          <w:sz w:val="20"/>
        </w:rPr>
        <w:t xml:space="preserve">4. </w:t>
      </w:r>
      <w:r>
        <w:rPr>
          <w:rFonts w:ascii="Times New Roman" w:hAnsi="Times New Roman"/>
          <w:sz w:val="20"/>
        </w:rPr>
        <w:t>Covino BG. Pharmacology of local anaesthetic agents. Br J Anaesth. 1986;58(7):701-716.</w:t>
      </w:r>
    </w:p>
    <w:p>
      <w:r>
        <w:rPr>
          <w:rFonts w:ascii="Times New Roman" w:hAnsi="Times New Roman"/>
          <w:sz w:val="20"/>
        </w:rPr>
        <w:t xml:space="preserve">5. </w:t>
      </w:r>
      <w:r>
        <w:rPr>
          <w:rFonts w:ascii="Times New Roman" w:hAnsi="Times New Roman"/>
          <w:sz w:val="20"/>
        </w:rPr>
        <w:t>Marsh B, White M, Morton N, Kenny GN. Pharmacokinetic model driven infusion of propofol in children. Br J Anaesth. 1991;67(1):41-48.</w:t>
      </w:r>
    </w:p>
    <w:p>
      <w:r>
        <w:rPr>
          <w:rFonts w:ascii="Times New Roman" w:hAnsi="Times New Roman"/>
          <w:sz w:val="20"/>
        </w:rPr>
        <w:t xml:space="preserve">6. </w:t>
      </w:r>
      <w:r>
        <w:rPr>
          <w:rFonts w:ascii="Times New Roman" w:hAnsi="Times New Roman"/>
          <w:sz w:val="20"/>
        </w:rPr>
        <w:t>Eleveld DJ, Colin P, Absalom AR, Struys MMRF. Pharmacokinetic-pharmacodynamic model for propofol for broad application in anaesthesia and sedation. Br J Anaesth. 2018;120(5):942-959.</w:t>
      </w:r>
    </w:p>
    <w:p>
      <w:r>
        <w:rPr>
          <w:rFonts w:ascii="Times New Roman" w:hAnsi="Times New Roman"/>
          <w:sz w:val="20"/>
        </w:rPr>
        <w:t xml:space="preserve">7. </w:t>
      </w:r>
      <w:r>
        <w:rPr>
          <w:rFonts w:ascii="Times New Roman" w:hAnsi="Times New Roman"/>
          <w:sz w:val="20"/>
        </w:rPr>
        <w:t>Absalom AR, Glen JI, Zwart GJC, Schnider TW, Struys MMRF. Target-controlled infusion: a mature technology. Anesth Analg. 2016;122(1):70-78.</w:t>
      </w:r>
    </w:p>
    <w:p>
      <w:r>
        <w:rPr>
          <w:rFonts w:ascii="Times New Roman" w:hAnsi="Times New Roman"/>
          <w:sz w:val="20"/>
        </w:rPr>
        <w:t xml:space="preserve">8. </w:t>
      </w:r>
      <w:r>
        <w:rPr>
          <w:rFonts w:ascii="Times New Roman" w:hAnsi="Times New Roman"/>
          <w:sz w:val="20"/>
        </w:rPr>
        <w:t>Syroid ND, Agutter J, Drews FA, et al. Development and evaluation of a real-time anesthesia drug display. Anesthesiology. 2002;96(3):565-574.</w:t>
      </w:r>
    </w:p>
    <w:p>
      <w:r>
        <w:rPr>
          <w:rFonts w:ascii="Times New Roman" w:hAnsi="Times New Roman"/>
          <w:sz w:val="20"/>
        </w:rPr>
        <w:t xml:space="preserve">9. </w:t>
      </w:r>
      <w:r>
        <w:rPr>
          <w:rFonts w:ascii="Times New Roman" w:hAnsi="Times New Roman"/>
          <w:sz w:val="20"/>
        </w:rPr>
        <w:t>Tucker GT. Pharmacokinetics of local anaesthetics. Br J Anaesth. 1986;58(7):717-731.</w:t>
      </w:r>
    </w:p>
    <w:p>
      <w:r>
        <w:rPr>
          <w:rFonts w:ascii="Times New Roman" w:hAnsi="Times New Roman"/>
          <w:sz w:val="20"/>
        </w:rPr>
        <w:t xml:space="preserve">10. </w:t>
      </w:r>
      <w:r>
        <w:rPr>
          <w:rFonts w:ascii="Times New Roman" w:hAnsi="Times New Roman"/>
          <w:sz w:val="20"/>
        </w:rPr>
        <w:t>Rosenberg PH, Veering BT, Urmey WF. Maximum recommended doses of local anesthetics: a multifactorial concept. Reg Anesth Pain Med. 2004;29(6):564-575.</w:t>
      </w:r>
    </w:p>
    <w:p>
      <w:r>
        <w:rPr>
          <w:rFonts w:ascii="Times New Roman" w:hAnsi="Times New Roman"/>
          <w:sz w:val="20"/>
        </w:rPr>
        <w:t xml:space="preserve">11. </w:t>
      </w:r>
      <w:r>
        <w:rPr>
          <w:rFonts w:ascii="Times New Roman" w:hAnsi="Times New Roman"/>
          <w:sz w:val="20"/>
        </w:rPr>
        <w:t>Gaudreault F, Bhatt M, Bhatt S, et al. Population pharmacokinetics of ropivacaine after femoral nerve block in patients undergoing total knee arthroplasty. Clin Pharmacol Ther. 2012;91(1):Abstract.</w:t>
      </w:r>
    </w:p>
    <w:p>
      <w:r>
        <w:rPr>
          <w:rFonts w:ascii="Times New Roman" w:hAnsi="Times New Roman"/>
          <w:sz w:val="20"/>
        </w:rPr>
        <w:t xml:space="preserve">12. </w:t>
      </w:r>
      <w:r>
        <w:rPr>
          <w:rFonts w:ascii="Times New Roman" w:hAnsi="Times New Roman"/>
          <w:sz w:val="20"/>
        </w:rPr>
        <w:t>Ling J, Zhang Y, Meng Q, et al. Population pharmacokinetics of ropivacaine after serratus anterior plane block. J Clin Pharmacol. 2022;62(8):1042-1051.</w:t>
      </w:r>
    </w:p>
    <w:p>
      <w:r>
        <w:rPr>
          <w:rFonts w:ascii="Times New Roman" w:hAnsi="Times New Roman"/>
          <w:sz w:val="20"/>
        </w:rPr>
        <w:t xml:space="preserve">13. </w:t>
      </w:r>
      <w:r>
        <w:rPr>
          <w:rFonts w:ascii="Times New Roman" w:hAnsi="Times New Roman"/>
          <w:sz w:val="20"/>
        </w:rPr>
        <w:t>Tucker GT, Moore DC, Bridenbaugh PO, Bridenbaugh LD, Thompson GE. Systemic absorption of mepivacaine in commonly used regional block procedures. Anesthesiology. 1972;37(3):277-287.</w:t>
      </w:r>
    </w:p>
    <w:p>
      <w:r>
        <w:rPr>
          <w:rFonts w:ascii="Times New Roman" w:hAnsi="Times New Roman"/>
          <w:sz w:val="20"/>
        </w:rPr>
        <w:t xml:space="preserve">14. </w:t>
      </w:r>
      <w:r>
        <w:rPr>
          <w:rFonts w:ascii="Times New Roman" w:hAnsi="Times New Roman"/>
          <w:sz w:val="20"/>
        </w:rPr>
        <w:t>De Cassai A, Boscolo A, Sergi M, et al. Effect of epinephrine on local anesthetic absorption in fascial plane blocks: a randomized clinical trial. Br J Anaesth. 2025;134(1):56-64.</w:t>
      </w:r>
    </w:p>
    <w:p>
      <w:r>
        <w:rPr>
          <w:rFonts w:ascii="Times New Roman" w:hAnsi="Times New Roman"/>
          <w:sz w:val="20"/>
        </w:rPr>
        <w:t xml:space="preserve">15. </w:t>
      </w:r>
      <w:r>
        <w:rPr>
          <w:rFonts w:ascii="Times New Roman" w:hAnsi="Times New Roman"/>
          <w:sz w:val="20"/>
        </w:rPr>
        <w:t>Schwenk ES, Epstein RH, Grasfield R, et al. Lidocaine as a persistent cause of local anesthetic systemic toxicity-related mortality. Reg Anesth Pain Med. 2023;48(12):601-606.</w:t>
      </w:r>
    </w:p>
    <w:p>
      <w:r>
        <w:rPr>
          <w:rFonts w:ascii="Times New Roman" w:hAnsi="Times New Roman"/>
          <w:sz w:val="20"/>
        </w:rPr>
        <w:t xml:space="preserve">16. </w:t>
      </w:r>
      <w:r>
        <w:rPr>
          <w:rFonts w:ascii="Times New Roman" w:hAnsi="Times New Roman"/>
          <w:sz w:val="20"/>
        </w:rPr>
        <w:t>Mather LE, Copeland SE, Ladd LA. Acute toxicity of local anesthetics: underlying pharmacokinetic and pharmacodynamic concepts. Reg Anesth Pain Med. 2005;30(6):553-566.</w:t>
      </w:r>
    </w:p>
    <w:p>
      <w:r>
        <w:rPr>
          <w:rFonts w:ascii="Times New Roman" w:hAnsi="Times New Roman"/>
          <w:sz w:val="20"/>
        </w:rPr>
        <w:t xml:space="preserve">17. </w:t>
      </w:r>
      <w:r>
        <w:rPr>
          <w:rFonts w:ascii="Times New Roman" w:hAnsi="Times New Roman"/>
          <w:sz w:val="20"/>
        </w:rPr>
        <w:t>Nair A, Diwan S, Vaishnav A. Pharmacokinetics of local anesthetics in regional anesthesia: are we still relying on IV-derived data? Reg Anesth Pain Med. 2023;48(8):e45-e47.</w:t>
      </w:r>
    </w:p>
    <w:p>
      <w:r>
        <w:rPr>
          <w:rFonts w:ascii="Times New Roman" w:hAnsi="Times New Roman"/>
          <w:sz w:val="20"/>
        </w:rPr>
        <w:t xml:space="preserve">18. </w:t>
      </w:r>
      <w:r>
        <w:rPr>
          <w:rFonts w:ascii="Times New Roman" w:hAnsi="Times New Roman"/>
          <w:sz w:val="20"/>
        </w:rPr>
        <w:t>Veering BT, Burm AGL, van Kleef JW, et al. Epidural anesthesia with bupivacaine: effects of age on neural blockade and pharmacokinetics. Anesth Analg. 1987;66(7):589-593.</w:t>
      </w:r>
    </w:p>
    <w:p>
      <w:r>
        <w:rPr>
          <w:rFonts w:ascii="Times New Roman" w:hAnsi="Times New Roman"/>
          <w:sz w:val="20"/>
        </w:rPr>
        <w:t xml:space="preserve">19. </w:t>
      </w:r>
      <w:r>
        <w:rPr>
          <w:rFonts w:ascii="Times New Roman" w:hAnsi="Times New Roman"/>
          <w:sz w:val="20"/>
        </w:rPr>
        <w:t>Mazoit JX, Dalens BJ. Pharmacokinetics of local anaesthetics in infants and children. Clin Pharmacokinet. 2004;43(1):17-32.</w:t>
      </w:r>
    </w:p>
    <w:p>
      <w:r>
        <w:rPr>
          <w:rFonts w:ascii="Times New Roman" w:hAnsi="Times New Roman"/>
          <w:sz w:val="20"/>
        </w:rPr>
        <w:t xml:space="preserve">20. </w:t>
      </w:r>
      <w:r>
        <w:rPr>
          <w:rFonts w:ascii="Times New Roman" w:hAnsi="Times New Roman"/>
          <w:sz w:val="20"/>
        </w:rPr>
        <w:t>Burm AGL, van Kleef JW, Gladines MPRR, Olthof G, Spierdijk J. Epidural anesthesia with lidocaine and bupivacaine: effects of epinephrine on the plasma concentration profiles. Anesth Analg. 1986;65(12):1281-1284.</w:t>
      </w:r>
    </w:p>
    <w:p>
      <w:r>
        <w:rPr>
          <w:rFonts w:ascii="Times New Roman" w:hAnsi="Times New Roman"/>
          <w:sz w:val="20"/>
        </w:rPr>
        <w:t xml:space="preserve">21. </w:t>
      </w:r>
      <w:r>
        <w:rPr>
          <w:rFonts w:ascii="Times New Roman" w:hAnsi="Times New Roman"/>
          <w:sz w:val="20"/>
        </w:rPr>
        <w:t>Jones HM, Rowland-Yeo K. Basic concepts in physiologically based pharmacokinetic modeling in drug discovery and development. CPT Pharmacometrics Syst Pharmacol. 2013;2(8):e63.</w:t>
      </w:r>
    </w:p>
    <w:p>
      <w:r>
        <w:rPr>
          <w:rFonts w:ascii="Times New Roman" w:hAnsi="Times New Roman"/>
          <w:sz w:val="20"/>
        </w:rPr>
        <w:t xml:space="preserve">22. </w:t>
      </w:r>
      <w:r>
        <w:rPr>
          <w:rFonts w:ascii="Times New Roman" w:hAnsi="Times New Roman"/>
          <w:sz w:val="20"/>
        </w:rPr>
        <w:t>Kuepfer L, Niederalt C, Wendl T, et al. Applied concepts in PBPK modeling: how to build a PBPK/PD model. CPT Pharmacometrics Syst Pharmacol. 2016;5(10):516-531.</w:t>
      </w:r>
    </w:p>
    <w:p>
      <w:r>
        <w:rPr>
          <w:rFonts w:ascii="Times New Roman" w:hAnsi="Times New Roman"/>
          <w:sz w:val="20"/>
        </w:rPr>
        <w:t xml:space="preserve">23. </w:t>
      </w:r>
      <w:r>
        <w:rPr>
          <w:rFonts w:ascii="Times New Roman" w:hAnsi="Times New Roman"/>
          <w:sz w:val="20"/>
        </w:rPr>
        <w:t>Open Systems Pharmacology. PK-Sim and MoBi documentation. https://docs.open-systems-pharmacology.org/. Accessed 2025.</w:t>
      </w:r>
    </w:p>
    <w:p>
      <w:r>
        <w:rPr>
          <w:rFonts w:ascii="Times New Roman" w:hAnsi="Times New Roman"/>
          <w:sz w:val="20"/>
        </w:rPr>
        <w:t xml:space="preserve">24. </w:t>
      </w:r>
      <w:r>
        <w:rPr>
          <w:rFonts w:ascii="Times New Roman" w:hAnsi="Times New Roman"/>
          <w:sz w:val="20"/>
        </w:rPr>
        <w:t>Lippert J, Burghaus R, Edginton A, et al. Open Systems Pharmacology Community—an open access, open source, open science approach to modeling and simulation in pharmaceutical sciences. CPT Pharmacometrics Syst Pharmacol. 2019;8(12):878-882.</w:t>
      </w:r>
    </w:p>
    <w:p>
      <w:r>
        <w:rPr>
          <w:rFonts w:ascii="Times New Roman" w:hAnsi="Times New Roman"/>
          <w:sz w:val="20"/>
        </w:rPr>
        <w:t xml:space="preserve">25. </w:t>
      </w:r>
      <w:r>
        <w:rPr>
          <w:rFonts w:ascii="Times New Roman" w:hAnsi="Times New Roman"/>
          <w:sz w:val="20"/>
        </w:rPr>
        <w:t>Willmann S, Lippert J, Sevestre M, Solodenko J, Fois F, Schmitt W. PK-Sim: a physiologically based pharmacokinetic ‘whole-body’ model. Biosilico. 2003;1(4):121-124.</w:t>
      </w:r>
    </w:p>
    <w:p>
      <w:r>
        <w:rPr>
          <w:rFonts w:ascii="Times New Roman" w:hAnsi="Times New Roman"/>
          <w:sz w:val="20"/>
        </w:rPr>
        <w:t xml:space="preserve">26. </w:t>
      </w:r>
      <w:r>
        <w:rPr>
          <w:rFonts w:ascii="Times New Roman" w:hAnsi="Times New Roman"/>
          <w:sz w:val="20"/>
        </w:rPr>
        <w:t>Peng PWH, Narouze S. Ultrasound-guided interventional procedures in pain medicine: a review of anatomy, sonoanatomy, and procedures. Part I: nonaxial structures. Reg Anesth Pain Med. 2009;34(5):458-474.</w:t>
      </w:r>
    </w:p>
    <w:p>
      <w:r>
        <w:rPr>
          <w:rFonts w:ascii="Times New Roman" w:hAnsi="Times New Roman"/>
          <w:sz w:val="20"/>
        </w:rPr>
        <w:t xml:space="preserve">27. </w:t>
      </w:r>
      <w:r>
        <w:rPr>
          <w:rFonts w:ascii="Times New Roman" w:hAnsi="Times New Roman"/>
          <w:sz w:val="20"/>
        </w:rPr>
        <w:t>Tran DQ, Bravo D, Leurcharusmee P, Neal JM. Transversus abdominis plane block: a narrative review. Anesthesiology. 2019;131(5):1166-1190.</w:t>
      </w:r>
    </w:p>
    <w:p>
      <w:r>
        <w:rPr>
          <w:rFonts w:ascii="Times New Roman" w:hAnsi="Times New Roman"/>
          <w:sz w:val="20"/>
        </w:rPr>
        <w:t xml:space="preserve">28. </w:t>
      </w:r>
      <w:r>
        <w:rPr>
          <w:rFonts w:ascii="Times New Roman" w:hAnsi="Times New Roman"/>
          <w:sz w:val="20"/>
        </w:rPr>
        <w:t>Lirk P, Thiry J, Bonnet MP, Zimmermann M, Hadzic A. Local anesthetic pharmacology in the era of fascial plane blocks. Anesthesiology. 2024;140(6):1227-1241.</w:t>
      </w:r>
    </w:p>
    <w:p>
      <w:r>
        <w:rPr>
          <w:rFonts w:ascii="Times New Roman" w:hAnsi="Times New Roman"/>
          <w:sz w:val="20"/>
        </w:rPr>
        <w:t xml:space="preserve">29. </w:t>
      </w:r>
      <w:r>
        <w:rPr>
          <w:rFonts w:ascii="Times New Roman" w:hAnsi="Times New Roman"/>
          <w:sz w:val="20"/>
        </w:rPr>
        <w:t>Hemmerling TM, Terrasini N. Robotic anesthesia: not the beginning of the end but the end of the beginning. Can J Anesth. 2020;67(4):521-530.</w:t>
      </w:r>
    </w:p>
    <w:p>
      <w:r>
        <w:rPr>
          <w:rFonts w:ascii="Times New Roman" w:hAnsi="Times New Roman"/>
          <w:sz w:val="20"/>
        </w:rPr>
        <w:t xml:space="preserve">30. </w:t>
      </w:r>
      <w:r>
        <w:rPr>
          <w:rFonts w:ascii="Times New Roman" w:hAnsi="Times New Roman"/>
          <w:sz w:val="20"/>
        </w:rPr>
        <w:t>Naik BI, Nemergut EC, Engel J. Advancing anesthesia information management systems: future directions. Anesth Analg. 2019;128(2):371-380.</w:t>
      </w:r>
    </w:p>
    <w:p>
      <w:r>
        <w:rPr>
          <w:rFonts w:ascii="Times New Roman" w:hAnsi="Times New Roman"/>
          <w:sz w:val="20"/>
        </w:rPr>
        <w:t xml:space="preserve">31. </w:t>
      </w:r>
      <w:r>
        <w:rPr>
          <w:rFonts w:ascii="Times New Roman" w:hAnsi="Times New Roman"/>
          <w:sz w:val="20"/>
        </w:rPr>
        <w:t>Neal JM, Barrington MJ, Brull R, et al. The second ASRA practice advisory on neurologic complications associated with regional anesthesia and pain medicine. Reg Anesth Pain Med. 2015;40(5):401-430.</w:t>
      </w:r>
    </w:p>
    <w:p>
      <w:r>
        <w:rPr>
          <w:rFonts w:ascii="Times New Roman" w:hAnsi="Times New Roman"/>
          <w:sz w:val="20"/>
        </w:rPr>
        <w:t xml:space="preserve">32. </w:t>
      </w:r>
      <w:r>
        <w:rPr>
          <w:rFonts w:ascii="Times New Roman" w:hAnsi="Times New Roman"/>
          <w:sz w:val="20"/>
        </w:rPr>
        <w:t>Karmakar MK, Samy W, Li JW, et al. Thoracic paravertebral block and its effects on chronic pain and health-related quality of life after modified radical mastectomy. Reg Anesth Pain Med. 2014;39(4):289-298.</w:t>
      </w:r>
    </w:p>
    <w:p>
      <w:r>
        <w:rPr>
          <w:rFonts w:ascii="Times New Roman" w:hAnsi="Times New Roman"/>
          <w:sz w:val="20"/>
        </w:rPr>
        <w:t xml:space="preserve">33. </w:t>
      </w:r>
      <w:r>
        <w:rPr>
          <w:rFonts w:ascii="Times New Roman" w:hAnsi="Times New Roman"/>
          <w:sz w:val="20"/>
        </w:rPr>
        <w:t>Onishi T. Rethinking maximum dose limits for local anesthetics in regional anesthesia: the case for initial compartment-dependent pharmacokinetic modelling. SSRN Preprint. 2025. Available at: https://papers.ssrn.com/sol3/papers.cfm?abstract_id=6614761.</w:t>
      </w:r>
    </w:p>
    <w:p>
      <w:pPr>
        <w:pStyle w:val="Heading1"/>
      </w:pPr>
      <w:r>
        <w:rPr>
          <w:rFonts w:ascii="Times New Roman" w:hAnsi="Times New Roman"/>
          <w:color w:val="000000"/>
        </w:rPr>
        <w:t>Figures</w:t>
      </w:r>
    </w:p>
    <w:p/>
    <w:p>
      <w:r>
        <w:drawing>
          <wp:inline xmlns:a="http://schemas.openxmlformats.org/drawingml/2006/main" xmlns:pic="http://schemas.openxmlformats.org/drawingml/2006/picture">
            <wp:extent cx="5029200" cy="2364259"/>
            <wp:docPr id="1" name="Picture 1"/>
            <wp:cNvGraphicFramePr>
              <a:graphicFrameLocks noChangeAspect="1"/>
            </wp:cNvGraphicFramePr>
            <a:graphic>
              <a:graphicData uri="http://schemas.openxmlformats.org/drawingml/2006/picture">
                <pic:pic>
                  <pic:nvPicPr>
                    <pic:cNvPr id="0" name="figure1_compartment_models.png"/>
                    <pic:cNvPicPr/>
                  </pic:nvPicPr>
                  <pic:blipFill>
                    <a:blip r:embed="rId9"/>
                    <a:stretch>
                      <a:fillRect/>
                    </a:stretch>
                  </pic:blipFill>
                  <pic:spPr>
                    <a:xfrm>
                      <a:off x="0" y="0"/>
                      <a:ext cx="5029200" cy="2364259"/>
                    </a:xfrm>
                    <a:prstGeom prst="rect"/>
                  </pic:spPr>
                </pic:pic>
              </a:graphicData>
            </a:graphic>
          </wp:inline>
        </w:drawing>
      </w:r>
    </w:p>
    <w:p>
      <w:r>
        <w:rPr>
          <w:rFonts w:ascii="Times New Roman" w:hAnsi="Times New Roman"/>
          <w:b/>
          <w:i w:val="0"/>
          <w:sz w:val="24"/>
        </w:rPr>
        <w:t>Figure 1.</w:t>
      </w:r>
    </w:p>
    <w:p/>
    <w:p/>
    <w:p>
      <w:r>
        <w:drawing>
          <wp:inline xmlns:a="http://schemas.openxmlformats.org/drawingml/2006/main" xmlns:pic="http://schemas.openxmlformats.org/drawingml/2006/picture">
            <wp:extent cx="5029200" cy="3017863"/>
            <wp:docPr id="2" name="Picture 2"/>
            <wp:cNvGraphicFramePr>
              <a:graphicFrameLocks noChangeAspect="1"/>
            </wp:cNvGraphicFramePr>
            <a:graphic>
              <a:graphicData uri="http://schemas.openxmlformats.org/drawingml/2006/picture">
                <pic:pic>
                  <pic:nvPicPr>
                    <pic:cNvPr id="0" name="figure2_pk_simulation.png"/>
                    <pic:cNvPicPr/>
                  </pic:nvPicPr>
                  <pic:blipFill>
                    <a:blip r:embed="rId10"/>
                    <a:stretch>
                      <a:fillRect/>
                    </a:stretch>
                  </pic:blipFill>
                  <pic:spPr>
                    <a:xfrm>
                      <a:off x="0" y="0"/>
                      <a:ext cx="5029200" cy="3017863"/>
                    </a:xfrm>
                    <a:prstGeom prst="rect"/>
                  </pic:spPr>
                </pic:pic>
              </a:graphicData>
            </a:graphic>
          </wp:inline>
        </w:drawing>
      </w:r>
    </w:p>
    <w:p>
      <w:r>
        <w:rPr>
          <w:rFonts w:ascii="Times New Roman" w:hAnsi="Times New Roman"/>
          <w:b/>
          <w:i w:val="0"/>
          <w:sz w:val="24"/>
        </w:rPr>
        <w:t>Figure 2.</w:t>
      </w:r>
    </w:p>
    <w:p/>
    <w:p/>
    <w:p>
      <w:r>
        <w:drawing>
          <wp:inline xmlns:a="http://schemas.openxmlformats.org/drawingml/2006/main" xmlns:pic="http://schemas.openxmlformats.org/drawingml/2006/picture">
            <wp:extent cx="5029200" cy="2491031"/>
            <wp:docPr id="3" name="Picture 3"/>
            <wp:cNvGraphicFramePr>
              <a:graphicFrameLocks noChangeAspect="1"/>
            </wp:cNvGraphicFramePr>
            <a:graphic>
              <a:graphicData uri="http://schemas.openxmlformats.org/drawingml/2006/picture">
                <pic:pic>
                  <pic:nvPicPr>
                    <pic:cNvPr id="0" name="figure3_workflow.png"/>
                    <pic:cNvPicPr/>
                  </pic:nvPicPr>
                  <pic:blipFill>
                    <a:blip r:embed="rId11"/>
                    <a:stretch>
                      <a:fillRect/>
                    </a:stretch>
                  </pic:blipFill>
                  <pic:spPr>
                    <a:xfrm>
                      <a:off x="0" y="0"/>
                      <a:ext cx="5029200" cy="2491031"/>
                    </a:xfrm>
                    <a:prstGeom prst="rect"/>
                  </pic:spPr>
                </pic:pic>
              </a:graphicData>
            </a:graphic>
          </wp:inline>
        </w:drawing>
      </w:r>
    </w:p>
    <w:p>
      <w:r>
        <w:rPr>
          <w:rFonts w:ascii="Times New Roman" w:hAnsi="Times New Roman"/>
          <w:b/>
          <w:i w:val="0"/>
          <w:sz w:val="24"/>
        </w:rPr>
        <w:t>Figure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