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b w:val="0"/>
          <w:i w:val="0"/>
          <w:sz w:val="24"/>
        </w:rPr>
        <w:t>[Date]</w:t>
      </w:r>
    </w:p>
    <w:p>
      <w:r>
        <w:rPr>
          <w:rFonts w:ascii="Times New Roman" w:hAnsi="Times New Roman"/>
          <w:b w:val="0"/>
          <w:i w:val="0"/>
          <w:sz w:val="24"/>
        </w:rPr>
        <w:t>Professor Hugh Hemmings</w:t>
      </w:r>
    </w:p>
    <w:p>
      <w:r>
        <w:rPr>
          <w:rFonts w:ascii="Times New Roman" w:hAnsi="Times New Roman"/>
          <w:b w:val="0"/>
          <w:i w:val="0"/>
          <w:sz w:val="24"/>
        </w:rPr>
        <w:t>Editor-in-Chief</w:t>
      </w:r>
    </w:p>
    <w:p>
      <w:r>
        <w:rPr>
          <w:rFonts w:ascii="Times New Roman" w:hAnsi="Times New Roman"/>
          <w:b w:val="0"/>
          <w:i w:val="0"/>
          <w:sz w:val="24"/>
        </w:rPr>
        <w:t>British Journal of Anaesthesia</w:t>
      </w:r>
    </w:p>
    <w:p>
      <w:r>
        <w:rPr>
          <w:rFonts w:ascii="Times New Roman" w:hAnsi="Times New Roman"/>
          <w:b w:val="0"/>
          <w:i w:val="0"/>
          <w:sz w:val="24"/>
        </w:rPr>
        <w:t>Weill Cornell Medical College</w:t>
      </w:r>
    </w:p>
    <w:p>
      <w:pPr>
        <w:spacing w:after="240"/>
      </w:pPr>
      <w:r>
        <w:rPr>
          <w:rFonts w:ascii="Times New Roman" w:hAnsi="Times New Roman"/>
          <w:b w:val="0"/>
          <w:i w:val="0"/>
          <w:sz w:val="24"/>
        </w:rPr>
        <w:t>New York, NY, USA</w:t>
      </w:r>
    </w:p>
    <w:p>
      <w:pPr>
        <w:spacing w:after="240"/>
      </w:pPr>
      <w:r>
        <w:rPr>
          <w:rFonts w:ascii="Times New Roman" w:hAnsi="Times New Roman"/>
          <w:b w:val="0"/>
          <w:i w:val="0"/>
          <w:sz w:val="24"/>
        </w:rPr>
        <w:t>Dear Professor Hemmings,</w:t>
      </w:r>
    </w:p>
    <w:p>
      <w:pPr>
        <w:spacing w:after="240"/>
      </w:pPr>
      <w:r>
        <w:rPr>
          <w:rFonts w:ascii="Times New Roman" w:hAnsi="Times New Roman"/>
          <w:b/>
          <w:i w:val="0"/>
          <w:sz w:val="24"/>
        </w:rPr>
        <w:t>Re: Submission of Narrative Review — “Rethinking Maximum Dose Limits for Local Anaesthetics in Regional Anaesthesia: The Case for Initial Compartment-Dependent Pharmacokinetic Modelling and a Call for Route-Adaptive PKPD Simulation in Anaesthesia Information Management Systems”</w:t>
      </w:r>
    </w:p>
    <w:p>
      <w:pPr>
        <w:spacing w:after="240"/>
      </w:pPr>
      <w:r>
        <w:rPr>
          <w:rFonts w:ascii="Times New Roman" w:hAnsi="Times New Roman"/>
          <w:b w:val="0"/>
          <w:i w:val="0"/>
          <w:sz w:val="24"/>
        </w:rPr>
        <w:t>We are pleased to submit the above manuscript for consideration as a Narrative Review in the British Journal of Anaesthesia. This work addresses a fundamental but overlooked problem in regional anaesthesia pharmacokinetics: current maximum recommended doses for local anaesthetics are derived from models that assume intravenous administration, yet the initial pharmacokinetic compartment in regional anaesthesia depends critically on the route of administration and the success of the block.</w:t>
      </w:r>
    </w:p>
    <w:p>
      <w:pPr>
        <w:spacing w:after="240"/>
      </w:pPr>
      <w:r>
        <w:rPr>
          <w:rFonts w:ascii="Times New Roman" w:hAnsi="Times New Roman"/>
          <w:b w:val="0"/>
          <w:i w:val="0"/>
          <w:sz w:val="24"/>
        </w:rPr>
        <w:t>Our review proposes a conceptual framework in which the initial compartment of drug deposition—vessel-poor tissue for blocks with slow systemic absorption, vessel-rich tissue or plasma for blocks with rapid systemic absorption—determines the pharmacokinetic trajectory and, consequently, the risk of local anaesthetic systemic toxicity (LAST). We demonstrate that this framework can be implemented using freely available physiologically based pharmacokinetic (PBPK) modelling platforms such as PK-Sim and MoBi, and we argue that pharmacokinetic–pharmacodynamic (PKPD) simulation modules embedded in modern anaesthesia information management systems (AIMS) should incorporate route-of-administration logic for real-time dose guidance.</w:t>
      </w:r>
    </w:p>
    <w:p>
      <w:pPr>
        <w:spacing w:after="240"/>
      </w:pPr>
      <w:r>
        <w:rPr>
          <w:rFonts w:ascii="Times New Roman" w:hAnsi="Times New Roman"/>
          <w:b w:val="0"/>
          <w:i w:val="0"/>
          <w:sz w:val="24"/>
        </w:rPr>
        <w:t>This manuscript builds upon and extends the concepts introduced in the recent BJA editorial by De Cassai et al. (2025), which highlighted the need for population pharmacokinetic studies of local anaesthetics after fascial plane blocks. We believe our work provides a timely and comprehensive framework that will be of significant interest to BJA readers, including anaesthetists, pharmacologists, and developers of clinical decision support systems.</w:t>
      </w:r>
    </w:p>
    <w:p>
      <w:pPr>
        <w:spacing w:after="240"/>
      </w:pPr>
      <w:r>
        <w:rPr>
          <w:rFonts w:ascii="Times New Roman" w:hAnsi="Times New Roman"/>
          <w:b w:val="0"/>
          <w:i w:val="0"/>
          <w:sz w:val="24"/>
        </w:rPr>
        <w:t>The manuscript comprises approximately 4800 words in the main text, with 50 references, 4 figures (including 2 simulation-derived figures and 2 conceptual flow diagrams), and 1 table. These are within the BJA limits for Narrative Reviews (5000 words, 150 references, 6 tables/figures). All figures are provided in colour at 300 dpi or higher resolution.</w:t>
      </w:r>
    </w:p>
    <w:p>
      <w:pPr>
        <w:spacing w:after="240"/>
      </w:pPr>
      <w:r>
        <w:rPr>
          <w:rFonts w:ascii="Times New Roman" w:hAnsi="Times New Roman"/>
          <w:b w:val="0"/>
          <w:i w:val="0"/>
          <w:sz w:val="24"/>
        </w:rPr>
        <w:t>We confirm that this manuscript is original work, has not been published previously, and is not under consideration for publication elsewhere. All authors have read and approved the final manuscript and agree to its submission to the British Journal of Anaesthesia.</w:t>
      </w:r>
    </w:p>
    <w:p>
      <w:pPr>
        <w:spacing w:after="240"/>
      </w:pPr>
      <w:r>
        <w:rPr>
          <w:rFonts w:ascii="Times New Roman" w:hAnsi="Times New Roman"/>
          <w:b w:val="0"/>
          <w:i w:val="0"/>
          <w:sz w:val="24"/>
        </w:rPr>
        <w:t>We declare no conflicts of interest related to this work. [If applicable, please modify this statement to disclose any relevant conflicts.]</w:t>
      </w:r>
    </w:p>
    <w:p>
      <w:pPr>
        <w:spacing w:after="240"/>
      </w:pPr>
      <w:r>
        <w:rPr>
          <w:rFonts w:ascii="Times New Roman" w:hAnsi="Times New Roman"/>
          <w:b w:val="0"/>
          <w:i w:val="0"/>
          <w:sz w:val="24"/>
        </w:rPr>
        <w:t>We would welcome the opportunity to revise the manuscript in response to reviewer feedback. Thank you for considering our submission.</w:t>
      </w:r>
    </w:p>
    <w:p>
      <w:pPr>
        <w:spacing w:after="480"/>
      </w:pPr>
      <w:r>
        <w:rPr>
          <w:rFonts w:ascii="Times New Roman" w:hAnsi="Times New Roman"/>
          <w:b w:val="0"/>
          <w:i w:val="0"/>
          <w:sz w:val="24"/>
        </w:rPr>
        <w:t>Yours sincerely,</w:t>
      </w:r>
    </w:p>
    <w:p>
      <w:r>
        <w:rPr>
          <w:rFonts w:ascii="Times New Roman" w:hAnsi="Times New Roman"/>
          <w:b w:val="0"/>
          <w:i w:val="0"/>
          <w:sz w:val="24"/>
        </w:rPr>
        <w:t>[Corresponding author name]</w:t>
      </w:r>
    </w:p>
    <w:p>
      <w:r>
        <w:rPr>
          <w:rFonts w:ascii="Times New Roman" w:hAnsi="Times New Roman"/>
          <w:b w:val="0"/>
          <w:i w:val="0"/>
          <w:sz w:val="24"/>
        </w:rPr>
        <w:t>[Title, Department]</w:t>
      </w:r>
    </w:p>
    <w:p>
      <w:r>
        <w:rPr>
          <w:rFonts w:ascii="Times New Roman" w:hAnsi="Times New Roman"/>
          <w:b w:val="0"/>
          <w:i w:val="0"/>
          <w:sz w:val="24"/>
        </w:rPr>
        <w:t>[Institution]</w:t>
      </w:r>
    </w:p>
    <w:p>
      <w:r>
        <w:rPr>
          <w:rFonts w:ascii="Times New Roman" w:hAnsi="Times New Roman"/>
          <w:b w:val="0"/>
          <w:i w:val="0"/>
          <w:sz w:val="24"/>
        </w:rPr>
        <w:t>[Address]</w:t>
      </w:r>
    </w:p>
    <w:p>
      <w:r>
        <w:rPr>
          <w:rFonts w:ascii="Times New Roman" w:hAnsi="Times New Roman"/>
          <w:b w:val="0"/>
          <w:i w:val="0"/>
          <w:sz w:val="24"/>
        </w:rPr>
        <w:t>[Email]</w:t>
      </w:r>
    </w:p>
    <w:p>
      <w:r>
        <w:rPr>
          <w:rFonts w:ascii="Times New Roman" w:hAnsi="Times New Roman"/>
          <w:b w:val="0"/>
          <w:i w:val="0"/>
          <w:sz w:val="24"/>
        </w:rPr>
        <w:t>[Telephone]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