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4"/>
        </w:rPr>
      </w:r>
    </w:p>
    <w:p>
      <w:r>
        <w:rPr>
          <w:rFonts w:ascii="Times New Roman" w:hAnsi="Times New Roman"/>
          <w:b w:val="0"/>
          <w:i w:val="0"/>
          <w:sz w:val="24"/>
        </w:rPr>
      </w:r>
    </w:p>
    <w:p>
      <w:pPr>
        <w:jc w:val="center"/>
      </w:pPr>
      <w:r>
        <w:rPr>
          <w:rFonts w:ascii="Times New Roman" w:hAnsi="Times New Roman"/>
          <w:b/>
          <w:i w:val="0"/>
          <w:sz w:val="24"/>
        </w:rPr>
        <w:t>Rethinking Maximum Dose Limits for Local Anaesthetics in Regional Anaesthesia:</w:t>
      </w:r>
    </w:p>
    <w:p>
      <w:pPr>
        <w:jc w:val="center"/>
      </w:pPr>
      <w:r>
        <w:rPr>
          <w:rFonts w:ascii="Times New Roman" w:hAnsi="Times New Roman"/>
          <w:b/>
          <w:i w:val="0"/>
          <w:sz w:val="24"/>
        </w:rPr>
        <w:t>The Case for Initial Compartment-Dependent Pharmacokinetic Modelling</w:t>
      </w:r>
    </w:p>
    <w:p>
      <w:r>
        <w:rPr>
          <w:rFonts w:ascii="Times New Roman" w:hAnsi="Times New Roman"/>
          <w:b w:val="0"/>
          <w:i w:val="0"/>
          <w:sz w:val="24"/>
        </w:rPr>
      </w:r>
    </w:p>
    <w:p>
      <w:pPr>
        <w:jc w:val="center"/>
      </w:pPr>
      <w:r>
        <w:rPr>
          <w:rFonts w:ascii="Times New Roman" w:hAnsi="Times New Roman"/>
          <w:b/>
          <w:i w:val="0"/>
          <w:sz w:val="24"/>
        </w:rPr>
        <w:t>and a Call for Route-Adaptive PKPD Simulation in Anaesthesia Information Management Systems</w:t>
      </w:r>
    </w:p>
    <w:p>
      <w:r>
        <w:rPr>
          <w:rFonts w:ascii="Times New Roman" w:hAnsi="Times New Roman"/>
          <w:b w:val="0"/>
          <w:i w:val="0"/>
          <w:sz w:val="24"/>
        </w:rPr>
      </w:r>
    </w:p>
    <w:p>
      <w:r>
        <w:rPr>
          <w:rFonts w:ascii="Times New Roman" w:hAnsi="Times New Roman"/>
          <w:b w:val="0"/>
          <w:i w:val="0"/>
          <w:sz w:val="24"/>
        </w:rPr>
      </w:r>
    </w:p>
    <w:p>
      <w:pPr>
        <w:jc w:val="center"/>
      </w:pPr>
      <w:r>
        <w:rPr>
          <w:rFonts w:ascii="Times New Roman" w:hAnsi="Times New Roman"/>
          <w:b w:val="0"/>
          <w:i/>
          <w:sz w:val="24"/>
        </w:rPr>
        <w:t>Article type: Narrative Review</w:t>
      </w:r>
    </w:p>
    <w:p>
      <w:r>
        <w:rPr>
          <w:rFonts w:ascii="Times New Roman" w:hAnsi="Times New Roman"/>
          <w:b w:val="0"/>
          <w:i w:val="0"/>
          <w:sz w:val="24"/>
        </w:rPr>
      </w:r>
    </w:p>
    <w:p>
      <w:pPr>
        <w:jc w:val="center"/>
      </w:pPr>
      <w:r>
        <w:rPr>
          <w:rFonts w:ascii="Times New Roman" w:hAnsi="Times New Roman"/>
          <w:b w:val="0"/>
          <w:i w:val="0"/>
          <w:sz w:val="24"/>
        </w:rPr>
        <w:t>[Author names to be inserted]</w:t>
      </w:r>
    </w:p>
    <w:p>
      <w:pPr>
        <w:jc w:val="center"/>
      </w:pPr>
      <w:r>
        <w:rPr>
          <w:rFonts w:ascii="Times New Roman" w:hAnsi="Times New Roman"/>
          <w:b w:val="0"/>
          <w:i w:val="0"/>
          <w:sz w:val="24"/>
        </w:rPr>
        <w:t>[Affiliations to be inserted]</w:t>
      </w:r>
    </w:p>
    <w:p>
      <w:r>
        <w:rPr>
          <w:rFonts w:ascii="Times New Roman" w:hAnsi="Times New Roman"/>
          <w:b w:val="0"/>
          <w:i w:val="0"/>
          <w:sz w:val="24"/>
        </w:rPr>
      </w:r>
    </w:p>
    <w:p>
      <w:r>
        <w:rPr>
          <w:rFonts w:ascii="Times New Roman" w:hAnsi="Times New Roman"/>
          <w:b/>
          <w:i w:val="0"/>
          <w:sz w:val="24"/>
        </w:rPr>
        <w:t>Corresponding author:</w:t>
      </w:r>
    </w:p>
    <w:p>
      <w:r>
        <w:rPr>
          <w:rFonts w:ascii="Times New Roman" w:hAnsi="Times New Roman"/>
          <w:b w:val="0"/>
          <w:i w:val="0"/>
          <w:sz w:val="24"/>
        </w:rPr>
        <w:t>[Name, Department, Institution, Address, Email]</w:t>
      </w:r>
    </w:p>
    <w:p>
      <w:r>
        <w:rPr>
          <w:rFonts w:ascii="Times New Roman" w:hAnsi="Times New Roman"/>
          <w:b w:val="0"/>
          <w:i w:val="0"/>
          <w:sz w:val="24"/>
        </w:rPr>
      </w:r>
    </w:p>
    <w:p>
      <w:r>
        <w:rPr>
          <w:rFonts w:ascii="Times New Roman" w:hAnsi="Times New Roman"/>
          <w:b w:val="0"/>
          <w:i w:val="0"/>
          <w:sz w:val="24"/>
        </w:rPr>
        <w:t>Word count: ~4800 words (main text)</w:t>
      </w:r>
    </w:p>
    <w:p>
      <w:r>
        <w:rPr>
          <w:rFonts w:ascii="Times New Roman" w:hAnsi="Times New Roman"/>
          <w:b w:val="0"/>
          <w:i w:val="0"/>
          <w:sz w:val="24"/>
        </w:rPr>
        <w:t>References: 50</w:t>
      </w:r>
    </w:p>
    <w:p>
      <w:r>
        <w:rPr>
          <w:rFonts w:ascii="Times New Roman" w:hAnsi="Times New Roman"/>
          <w:b w:val="0"/>
          <w:i w:val="0"/>
          <w:sz w:val="24"/>
        </w:rPr>
        <w:t>Figures: 4</w:t>
      </w:r>
    </w:p>
    <w:p>
      <w:r>
        <w:rPr>
          <w:rFonts w:ascii="Times New Roman" w:hAnsi="Times New Roman"/>
          <w:b w:val="0"/>
          <w:i w:val="0"/>
          <w:sz w:val="24"/>
        </w:rPr>
        <w:t>Tables: 1</w:t>
      </w:r>
    </w:p>
    <w:p>
      <w:r>
        <w:rPr>
          <w:rFonts w:ascii="Times New Roman" w:hAnsi="Times New Roman"/>
          <w:b w:val="0"/>
          <w:i w:val="0"/>
          <w:sz w:val="24"/>
        </w:rPr>
      </w:r>
    </w:p>
    <w:p>
      <w:r>
        <w:rPr>
          <w:rFonts w:ascii="Times New Roman" w:hAnsi="Times New Roman"/>
          <w:b w:val="0"/>
          <w:i/>
          <w:sz w:val="24"/>
        </w:rPr>
        <w:t>Keywords: local anaesthetic systemic toxicity; pharmacokinetic modelling; regional anaesthesia; physiologically based pharmacokinetics; compartment model; anaesthesia information management system; maximum recommended dose</w:t>
      </w:r>
    </w:p>
    <w:p>
      <w:r>
        <w:br w:type="page"/>
      </w:r>
    </w:p>
    <w:p>
      <w:pPr>
        <w:pStyle w:val="Heading1"/>
      </w:pPr>
      <w:r>
        <w:rPr>
          <w:rFonts w:ascii="Times New Roman" w:hAnsi="Times New Roman"/>
          <w:color w:val="000000"/>
        </w:rPr>
        <w:t>Summary</w:t>
      </w:r>
    </w:p>
    <w:p>
      <w:r>
        <w:rPr>
          <w:rFonts w:ascii="Times New Roman" w:hAnsi="Times New Roman"/>
          <w:b w:val="0"/>
          <w:i w:val="0"/>
          <w:sz w:val="24"/>
        </w:rPr>
        <w:t>Current maximum recommended doses for local anaesthetics are derived from pharmacokinetic models that assume intravenous administration, where drugs are deposited directly into the central plasma compartment. However, in regional anaesthesia, the initial site of drug deposition differs fundamentally depending on block success: a successful perineural or fascial plane block deposits drug into vessel-poor tissue (slow systemic absorption), whereas a failed or partially failed block may result in drug deposition into vessel-rich tissue or direct intravascular injection (rapid systemic absorption). This discrepancy in the initial pharmacokinetic compartment has profound implications for peak plasma concentration and, consequently, the risk of local anaesthetic systemic toxicity. We review the limitations of conventional three-compartment models for regional anaesthesia dosing, examine the potential of physiologically based pharmacokinetic platforms such as PK-Sim and MoBi to simulate route-dependent pharmacokinetics, and propose a framework for context-sensitive maximum dose recommendations. Furthermore, we argue that pharmacokinetic-pharmacodynamic simulation modules embedded in modern anaesthesia information management systems should incorporate route-of-administration logic, enabling real-time, compartment-appropriate dose guidance for both intravenous and regional anaesthesia techniques.</w:t>
      </w:r>
    </w:p>
    <w:p>
      <w:r>
        <w:br w:type="page"/>
      </w:r>
    </w:p>
    <w:p>
      <w:pPr>
        <w:pStyle w:val="Heading1"/>
      </w:pPr>
      <w:r>
        <w:rPr>
          <w:rFonts w:ascii="Times New Roman" w:hAnsi="Times New Roman"/>
          <w:color w:val="000000"/>
        </w:rPr>
        <w:t>Introduction</w:t>
      </w:r>
    </w:p>
    <w:p>
      <w:r>
        <w:rPr>
          <w:rFonts w:ascii="Times New Roman" w:hAnsi="Times New Roman"/>
          <w:b w:val="0"/>
          <w:i w:val="0"/>
          <w:sz w:val="24"/>
        </w:rPr>
        <w:t>Local anaesthetic systemic toxicity (LAST) remains one of the most feared complications of regional anaesthesia. Maximum recommended doses for local anaesthetics, traditionally expressed as mg kg⁻¹, were established decades ago, largely on the basis of pharmacokinetic studies involving intravenous administration or subcutaneous infiltration.1,2 These dose limits implicitly assume that the drug enters the systemic circulation via the central (plasma) compartment, as occurs with intravenous injection.</w:t>
      </w:r>
    </w:p>
    <w:p>
      <w:r>
        <w:rPr>
          <w:rFonts w:ascii="Times New Roman" w:hAnsi="Times New Roman"/>
          <w:b w:val="0"/>
          <w:i w:val="0"/>
          <w:sz w:val="24"/>
        </w:rPr>
        <w:t>The three-compartment mammillary model, widely used in anaesthetic pharmacology, describes drug distribution from the central compartment (V1, plasma) to a rapidly equilibrating peripheral compartment (V2, vessel-rich tissues or BRT) and a slowly equilibrating peripheral compartment (V3, vessel-poor tissues or BPT), with elimination from the central compartment.3,4 This model underpins target-controlled infusion systems (e.g. Marsh, Schnider, Eleveld models for propofol) and is the foundation of pharmacokinetic-pharmacodynamic (PKPD) displays in modern anaesthesia information management systems (AIMS).5,6</w:t>
      </w:r>
    </w:p>
    <w:p>
      <w:r>
        <w:rPr>
          <w:rFonts w:ascii="Times New Roman" w:hAnsi="Times New Roman"/>
          <w:b w:val="0"/>
          <w:i w:val="0"/>
          <w:sz w:val="24"/>
        </w:rPr>
        <w:t>However, in regional anaesthesia, the drug is not administered intravenously. It is deposited into tissue—perineural space, fascial planes, or epidural space—where systemic absorption depends on local blood flow, tissue binding, and the physicochemical properties of both the drug and the tissue.7,8 Recent work by De Cassai and colleagues, published in this journal, has advanced our understanding of local anaesthetic pharmacokinetics in fascial plane blocks, highlighting the roles of epinephrine, tissue vascularity, and fascial microanatomy in determining systemic absorption profiles.9 Similarly, Schwenk and colleagues have drawn attention to the emergence of lidocaine as a persistent cause of LAST-related mortality.10</w:t>
      </w:r>
    </w:p>
    <w:p>
      <w:r>
        <w:rPr>
          <w:rFonts w:ascii="Times New Roman" w:hAnsi="Times New Roman"/>
          <w:b w:val="0"/>
          <w:i w:val="0"/>
          <w:sz w:val="24"/>
        </w:rPr>
        <w:t>Despite these advances, a fundamental question has not been adequately addressed: how does the initial site of drug deposition—the starting compartment—influence peak plasma concentration and therefore the margin of safety? We contend that the answer to this question is critical to any meaningful discussion of maximum dose limits in regional anaesthesia, and that current dose recommendations are inadequate because they fail to account for this variable.</w:t>
      </w:r>
    </w:p>
    <w:p>
      <w:pPr>
        <w:pStyle w:val="Heading1"/>
      </w:pPr>
      <w:r>
        <w:rPr>
          <w:rFonts w:ascii="Times New Roman" w:hAnsi="Times New Roman"/>
          <w:color w:val="000000"/>
        </w:rPr>
        <w:t>The initial compartment problem</w:t>
      </w:r>
    </w:p>
    <w:p>
      <w:r>
        <w:rPr>
          <w:rFonts w:ascii="Times New Roman" w:hAnsi="Times New Roman"/>
          <w:b w:val="0"/>
          <w:i w:val="0"/>
          <w:sz w:val="24"/>
        </w:rPr>
        <w:t>Consider two clinical scenarios involving the same dose of a long-acting local anaesthetic (e.g. bupivacaine 150 mg) administered for a peripheral nerve block:</w:t>
      </w:r>
    </w:p>
    <w:p>
      <w:pPr>
        <w:pStyle w:val="ListBullet"/>
      </w:pPr>
      <w:r>
        <w:rPr>
          <w:rFonts w:ascii="Times New Roman" w:hAnsi="Times New Roman"/>
          <w:sz w:val="24"/>
        </w:rPr>
        <w:t>Scenario A (successful block): The entire dose is deposited accurately into the target fascial plane or perineural space. The tissue is predominantly vessel-poor (adipose, connective tissue, fascia). Systemic absorption is slow, governed by a low absorption rate constant (ka). Peak plasma concentration (Cmax) is low and delayed (high Tmax). The drug exerts its intended local effect while being gradually cleared by hepatic metabolism as it enters the systemic circulation.</w:t>
      </w:r>
    </w:p>
    <w:p>
      <w:pPr>
        <w:pStyle w:val="ListBullet"/>
      </w:pPr>
      <w:r>
        <w:rPr>
          <w:rFonts w:ascii="Times New Roman" w:hAnsi="Times New Roman"/>
          <w:sz w:val="24"/>
        </w:rPr>
        <w:t>Scenario B (failed block or intravascular injection): The drug is inadvertently deposited into a vascular structure or highly perfused tissue (vessel-rich group). Systemic absorption is rapid, equivalent or near-equivalent to intravenous administration. Cmax is high and occurs early (low Tmax), potentially exceeding the threshold for central nervous system or cardiovascular toxicity.</w:t>
      </w:r>
    </w:p>
    <w:p>
      <w:r>
        <w:rPr>
          <w:rFonts w:ascii="Times New Roman" w:hAnsi="Times New Roman"/>
          <w:b w:val="0"/>
          <w:i w:val="0"/>
          <w:sz w:val="24"/>
        </w:rPr>
        <w:t>In the traditional three-compartment model, both scenarios would be evaluated against the same maximum recommended dose—a dose limit derived from models assuming plasma as the initial compartment. Yet the pharmacokinetic profiles are fundamentally different. For Scenario A, the conventional dose limit may be unnecessarily conservative, as the slow absorption rate produces a Cmax well below the toxicity threshold even at doses exceeding the traditional limit. For Scenario B, the same dose limit may be dangerously liberal, as rapid systemic absorption produces plasma concentrations comparable to those seen after intravenous bolus administration.</w:t>
      </w:r>
    </w:p>
    <w:p>
      <w:r>
        <w:rPr>
          <w:rFonts w:ascii="Times New Roman" w:hAnsi="Times New Roman"/>
          <w:b w:val="0"/>
          <w:i w:val="0"/>
          <w:sz w:val="24"/>
        </w:rPr>
        <w:t>This asymmetry is not merely theoretical. Clinical experience demonstrates that fascial plane blocks routinely employ doses exceeding traditional weight-based limits without apparent toxicity,11,12 whilst rare but devastating LAST events continue to occur at conventional doses, often attributable to inadvertent intravascular injection or rapid absorption from highly vascular injection sites.13,14 The missing variable in this equation is the initial compartment of drug deposition.</w:t>
      </w:r>
    </w:p>
    <w:p>
      <w:pPr>
        <w:pStyle w:val="Heading1"/>
      </w:pPr>
      <w:r>
        <w:rPr>
          <w:rFonts w:ascii="Times New Roman" w:hAnsi="Times New Roman"/>
          <w:color w:val="000000"/>
        </w:rPr>
        <w:t>Block success as a pharmacokinetic determinant</w:t>
      </w:r>
    </w:p>
    <w:p>
      <w:r>
        <w:rPr>
          <w:rFonts w:ascii="Times New Roman" w:hAnsi="Times New Roman"/>
          <w:b w:val="0"/>
          <w:i w:val="0"/>
          <w:sz w:val="24"/>
        </w:rPr>
        <w:t>We propose that the clinical success of a regional block provides direct information about the pharmacokinetic trajectory of the administered local anaesthetic. A successful block producing prolonged sensory and motor blockade implies that a substantial portion of the drug remains localised in the target tissue (vessel-poor compartment) for an extended period. This is pharmacokinetic evidence of slow absorption: the drug has not been rapidly cleared from the injection site into the systemic circulation.</w:t>
      </w:r>
    </w:p>
    <w:p>
      <w:r>
        <w:rPr>
          <w:rFonts w:ascii="Times New Roman" w:hAnsi="Times New Roman"/>
          <w:b w:val="0"/>
          <w:i w:val="0"/>
          <w:sz w:val="24"/>
        </w:rPr>
        <w:t>Conversely, a block that fails rapidly or never achieves adequate anaesthesia suggests that the drug has been rapidly absorbed or deposited away from the target nerve, entering the systemic circulation through vessel-rich tissue pathways. In pharmacokinetic terms, this represents a scenario where the initial compartment is closer to V2 (vessel-rich tissue) or V1 (plasma) rather than V3 (vessel-poor tissue).</w:t>
      </w:r>
    </w:p>
    <w:p>
      <w:r>
        <w:rPr>
          <w:rFonts w:ascii="Times New Roman" w:hAnsi="Times New Roman"/>
          <w:b w:val="0"/>
          <w:i w:val="0"/>
          <w:sz w:val="24"/>
        </w:rPr>
        <w:t>This relationship between block efficacy and pharmacokinetic behaviour has important implications. When a block is clinically effective for many hours, the plasma concentration curve is characterised by a low, flat profile—the drug is being sequestered locally rather than flooding the systemic circulation. The risk of LAST in this scenario is inherently lower than that predicted by models assuming immediate plasma compartment entry. The corollary is that failed blocks present a higher toxicity risk than conventionally appreciated, because the entire dose may behave pharmacokinetically as if it were administered intravenously.</w:t>
      </w:r>
    </w:p>
    <w:p>
      <w:pPr>
        <w:pStyle w:val="Heading1"/>
      </w:pPr>
      <w:r>
        <w:rPr>
          <w:rFonts w:ascii="Times New Roman" w:hAnsi="Times New Roman"/>
          <w:color w:val="000000"/>
        </w:rPr>
        <w:t>Limitations of conventional three-compartment models for regional anaesthesia</w:t>
      </w:r>
    </w:p>
    <w:p>
      <w:r>
        <w:rPr>
          <w:rFonts w:ascii="Times New Roman" w:hAnsi="Times New Roman"/>
          <w:b w:val="0"/>
          <w:i w:val="0"/>
          <w:sz w:val="24"/>
        </w:rPr>
        <w:t>The three-compartment models used in clinical anaesthesia practice (Marsh, Schnider, Eleveld for propofol; Minto, Kim, Eleveld for remifentanil) were developed for intravenous drug administration.3–6 They describe drug disposition after the drug has entered the central compartment and are therefore inherently unsuitable for modelling regional anaesthesia pharmacokinetics without modification.</w:t>
      </w:r>
    </w:p>
    <w:p>
      <w:r>
        <w:rPr>
          <w:rFonts w:ascii="Times New Roman" w:hAnsi="Times New Roman"/>
          <w:b w:val="0"/>
          <w:i w:val="0"/>
          <w:sz w:val="24"/>
        </w:rPr>
        <w:t>Several specific limitations deserve emphasis. First, these models lack a depot or absorption compartment. In regional anaesthesia, drug must first be absorbed from the injection site before entering the plasma, a process characterised by a rate constant (ka) and bioavailability (F) that vary with injection site, tissue vascularity, use of vasoconstrictors, and individual patient factors.15,16 Second, the inter-compartmental rate constants (k12, k21, k13, k31) were estimated from IV administration data and may not accurately reflect drug transfer kinetics when the drug originates from a peripheral tissue depot. Third, protein binding dynamics differ importantly between IV bolus administration (where free drug fraction spikes acutely) and slow tissue absorption (where protein binding capacity is not overwhelmed).17</w:t>
      </w:r>
    </w:p>
    <w:p>
      <w:r>
        <w:rPr>
          <w:rFonts w:ascii="Times New Roman" w:hAnsi="Times New Roman"/>
          <w:b w:val="0"/>
          <w:i w:val="0"/>
          <w:sz w:val="24"/>
        </w:rPr>
        <w:t>Population pharmacokinetic studies of local anaesthetics after regional blocks have addressed some of these limitations by incorporating depot compartments with first-order absorption.18–20 Gaudreault and colleagues modelled ropivacaine pharmacokinetics after femoral nerve block using a two-compartment model with first-order absorption, demonstrating flip-flop kinetics where the absorption rate was slower than the elimination rate.18 More recently, Ling and colleagues developed a population pharmacokinetic model for ropivacaine after serratus anterior plane block using NONMEM.19 These studies consistently show that the pharmacokinetic profile after regional block differs markedly from IV administration, yet their findings have not been translated into revised dose recommendations.</w:t>
      </w:r>
    </w:p>
    <w:p>
      <w:pPr>
        <w:pStyle w:val="Heading1"/>
      </w:pPr>
      <w:r>
        <w:rPr>
          <w:rFonts w:ascii="Times New Roman" w:hAnsi="Times New Roman"/>
          <w:color w:val="000000"/>
        </w:rPr>
        <w:t>Physiologically based pharmacokinetic modelling: a route-adaptive approach</w:t>
      </w:r>
    </w:p>
    <w:p>
      <w:r>
        <w:rPr>
          <w:rFonts w:ascii="Times New Roman" w:hAnsi="Times New Roman"/>
          <w:b w:val="0"/>
          <w:i w:val="0"/>
          <w:sz w:val="24"/>
        </w:rPr>
        <w:t>Physiologically based pharmacokinetic (PBPK) models offer a fundamentally different approach to simulating drug disposition. Rather than using abstract compartments with empirically estimated transfer constants, PBPK models divide the body into anatomically and physiologically defined organ compartments, each characterised by known blood flow, tissue volume, partition coefficients, and metabolic capacity.21,22 This mechanistic framework naturally accommodates different routes of administration by specifying the initial site of drug deposition.</w:t>
      </w:r>
    </w:p>
    <w:p>
      <w:r>
        <w:rPr>
          <w:rFonts w:ascii="Times New Roman" w:hAnsi="Times New Roman"/>
          <w:b w:val="0"/>
          <w:i w:val="0"/>
          <w:sz w:val="24"/>
        </w:rPr>
        <w:t>The Open Systems Pharmacology (OSP) platform, comprising PK-Sim and MoBi, is a freely available, open-source PBPK modelling suite that has been qualified by the European Medicines Agency and is widely used in drug development and regulatory science.23,24 PK-Sim provides a graphical interface for building whole-body PBPK models with predefined organ compartments (including arterial and venous blood, lung, heart, muscle, adipose, skin, and others), while MoBi allows custom model building with user-defined compartments and transport processes.</w:t>
      </w:r>
    </w:p>
    <w:p>
      <w:r>
        <w:rPr>
          <w:rFonts w:ascii="Times New Roman" w:hAnsi="Times New Roman"/>
          <w:b w:val="0"/>
          <w:i w:val="0"/>
          <w:sz w:val="24"/>
        </w:rPr>
        <w:t>Critically for our purpose, PK-Sim supports multiple administration routes including intravenous, intramuscular, and subcutaneous injection, each with route-specific absorption models.25 The intramuscular and subcutaneous routes incorporate depot compartments with tissue-specific absorption kinetics. By analogy, a perineural or fascial plane injection could be modelled by specifying drug deposition into a tissue compartment with characteristics appropriate to the injection site (e.g. low blood flow for fascial tissue, high blood flow for highly vascular perineural structures). MoBi further allows the user to define entirely custom compartments and initial conditions, enabling simulation of the three clinical scenarios described above (successful block, failed block, and partial block) by varying the initial compartment and the fraction of dose deposited in each compartment.</w:t>
      </w:r>
    </w:p>
    <w:p>
      <w:r>
        <w:rPr>
          <w:rFonts w:ascii="Times New Roman" w:hAnsi="Times New Roman"/>
          <w:b w:val="0"/>
          <w:i w:val="0"/>
          <w:sz w:val="24"/>
        </w:rPr>
        <w:t>We illustrate this concept in Figure 1, which compares the traditional IV three-compartment model with modified models for successful and failed regional blocks. Figure 2 presents simulated plasma concentration–time profiles for each scenario, demonstrating the profound differences in Cmax and Tmax that result from varying the initial compartment of drug deposition.</w:t>
      </w:r>
    </w:p>
    <w:p>
      <w:pPr>
        <w:pStyle w:val="Heading1"/>
      </w:pPr>
      <w:r>
        <w:rPr>
          <w:rFonts w:ascii="Times New Roman" w:hAnsi="Times New Roman"/>
          <w:color w:val="000000"/>
        </w:rPr>
        <w:t>Integration into anaesthesia information management systems</w:t>
      </w:r>
    </w:p>
    <w:p>
      <w:r>
        <w:rPr>
          <w:rFonts w:ascii="Times New Roman" w:hAnsi="Times New Roman"/>
          <w:b w:val="0"/>
          <w:i w:val="0"/>
          <w:sz w:val="24"/>
        </w:rPr>
        <w:t>Modern AIMS increasingly incorporate real-time PKPD simulation, displaying predicted plasma and effect-site concentrations for intravenous agents such as propofol and remifentanil.5,26 These displays are powered by three-compartment models (e.g. Eleveld, Schnider) and assume that all drugs are administered intravenously into the central compartment. While this assumption is valid for total intravenous anaesthesia (TIVA) and target-controlled infusion (TCI), it becomes incorrect when the same system is used to track local anaesthetic doses administered via regional techniques.</w:t>
      </w:r>
    </w:p>
    <w:p>
      <w:r>
        <w:rPr>
          <w:rFonts w:ascii="Times New Roman" w:hAnsi="Times New Roman"/>
          <w:b w:val="0"/>
          <w:i w:val="0"/>
          <w:sz w:val="24"/>
        </w:rPr>
        <w:t>We propose that AIMS vendors and developers should implement route-adaptive PKPD simulation that adjusts the pharmacokinetic model based on the documented administration route. Specifically, the system should:</w:t>
      </w:r>
    </w:p>
    <w:p>
      <w:pPr>
        <w:pStyle w:val="ListNumber"/>
      </w:pPr>
      <w:r>
        <w:rPr>
          <w:rFonts w:ascii="Times New Roman" w:hAnsi="Times New Roman"/>
          <w:sz w:val="24"/>
        </w:rPr>
        <w:t>Distinguish between intravenous and regional routes of local anaesthetic administration in the drug administration record.</w:t>
      </w:r>
    </w:p>
    <w:p>
      <w:pPr>
        <w:pStyle w:val="ListNumber"/>
      </w:pPr>
      <w:r>
        <w:rPr>
          <w:rFonts w:ascii="Times New Roman" w:hAnsi="Times New Roman"/>
          <w:sz w:val="24"/>
        </w:rPr>
        <w:t>Apply route-appropriate pharmacokinetic models: the standard three-compartment model for IV administration, and a depot-augmented model (with absorption rate constant and bioavailability appropriate to the specific block type) for regional techniques.</w:t>
      </w:r>
    </w:p>
    <w:p>
      <w:pPr>
        <w:pStyle w:val="ListNumber"/>
      </w:pPr>
      <w:r>
        <w:rPr>
          <w:rFonts w:ascii="Times New Roman" w:hAnsi="Times New Roman"/>
          <w:sz w:val="24"/>
        </w:rPr>
        <w:t>Provide block-type-specific absorption parameters, informed by published population pharmacokinetic data for each regional technique (e.g. TAP block, ESP block, femoral nerve block, epidural).</w:t>
      </w:r>
    </w:p>
    <w:p>
      <w:pPr>
        <w:pStyle w:val="ListNumber"/>
      </w:pPr>
      <w:r>
        <w:rPr>
          <w:rFonts w:ascii="Times New Roman" w:hAnsi="Times New Roman"/>
          <w:sz w:val="24"/>
        </w:rPr>
        <w:t>Display predicted plasma concentration trajectories that reflect the actual route of administration, enabling clinicians to make informed decisions about redosing and cumulative dose limits.</w:t>
      </w:r>
    </w:p>
    <w:p>
      <w:pPr>
        <w:pStyle w:val="ListNumber"/>
      </w:pPr>
      <w:r>
        <w:rPr>
          <w:rFonts w:ascii="Times New Roman" w:hAnsi="Times New Roman"/>
          <w:sz w:val="24"/>
        </w:rPr>
        <w:t>Incorporate a mechanism to adjust the model in real time based on clinical indicators of block success (e.g. sensory testing results), shifting between successful-block (slow absorption) and failed-block (rapid absorption) pharmacokinetic profiles.</w:t>
      </w:r>
    </w:p>
    <w:p>
      <w:r>
        <w:rPr>
          <w:rFonts w:ascii="Times New Roman" w:hAnsi="Times New Roman"/>
          <w:b w:val="0"/>
          <w:i w:val="0"/>
          <w:sz w:val="24"/>
        </w:rPr>
        <w:t>Figure 3 illustrates the proposed workflow for PBPK-based maximum dose reassessment. Figure 4 presents a conceptual schematic of how route-adaptive PKPD simulation could be integrated into AIMS displays, with the pharmacokinetic model automatically adjusted based on the documented route of administration and block type.</w:t>
      </w:r>
    </w:p>
    <w:p>
      <w:r>
        <w:rPr>
          <w:rFonts w:ascii="Times New Roman" w:hAnsi="Times New Roman"/>
          <w:b w:val="0"/>
          <w:i w:val="0"/>
          <w:sz w:val="24"/>
        </w:rPr>
        <w:t>The technical feasibility of this approach is supported by several observations. First, the mathematical framework for depot-augmented compartment models is well established and computationally inexpensive.18–20 Second, population pharmacokinetic parameters for local anaesthetics after various regional techniques are increasingly available in the literature, providing the data needed to parameterise route-specific models.7,8,19 Third, modern AIMS already implement real-time PKPD simulation for intravenous agents, demonstrating that the computational infrastructure exists. The principal barrier is not technical but conceptual: the recognition that a single pharmacokinetic model cannot adequately describe drug behaviour across fundamentally different routes of administration.</w:t>
      </w:r>
    </w:p>
    <w:p>
      <w:pPr>
        <w:pStyle w:val="Heading1"/>
      </w:pPr>
      <w:r>
        <w:rPr>
          <w:rFonts w:ascii="Times New Roman" w:hAnsi="Times New Roman"/>
          <w:color w:val="000000"/>
        </w:rPr>
        <w:t>Toward context-sensitive maximum dose recommendations</w:t>
      </w:r>
    </w:p>
    <w:p>
      <w:r>
        <w:rPr>
          <w:rFonts w:ascii="Times New Roman" w:hAnsi="Times New Roman"/>
          <w:b w:val="0"/>
          <w:i w:val="0"/>
          <w:sz w:val="24"/>
        </w:rPr>
        <w:t>We propose the concept of a context-sensitive maximum dose for local anaesthetics, analogous to the context-sensitive half-time that revolutionised our understanding of intravenous drug offset.27 Just as the context-sensitive half-time varies with the duration and context of drug administration, the effective maximum safe dose of a local anaesthetic should vary with the context of administration—specifically, the route, the specific block type, the success of drug deposition, and individual patient factors.</w:t>
      </w:r>
    </w:p>
    <w:p>
      <w:r>
        <w:rPr>
          <w:rFonts w:ascii="Times New Roman" w:hAnsi="Times New Roman"/>
          <w:b w:val="0"/>
          <w:i w:val="0"/>
          <w:sz w:val="24"/>
        </w:rPr>
        <w:t>Under this framework, the maximum recommended dose would not be a single fixed value but a range dependent on the clinical scenario:</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0"/>
              </w:rPr>
              <w:t>Scenario</w:t>
            </w:r>
          </w:p>
        </w:tc>
        <w:tc>
          <w:tcPr>
            <w:tcW w:type="dxa" w:w="2340"/>
          </w:tcPr>
          <w:p>
            <w:r>
              <w:rPr>
                <w:rFonts w:ascii="Times New Roman" w:hAnsi="Times New Roman"/>
                <w:b/>
                <w:sz w:val="20"/>
              </w:rPr>
              <w:t>Initial Compartment</w:t>
            </w:r>
          </w:p>
        </w:tc>
        <w:tc>
          <w:tcPr>
            <w:tcW w:type="dxa" w:w="2340"/>
          </w:tcPr>
          <w:p>
            <w:r>
              <w:rPr>
                <w:rFonts w:ascii="Times New Roman" w:hAnsi="Times New Roman"/>
                <w:b/>
                <w:sz w:val="20"/>
              </w:rPr>
              <w:t>Expected Cmax</w:t>
            </w:r>
          </w:p>
        </w:tc>
        <w:tc>
          <w:tcPr>
            <w:tcW w:type="dxa" w:w="2340"/>
          </w:tcPr>
          <w:p>
            <w:r>
              <w:rPr>
                <w:rFonts w:ascii="Times New Roman" w:hAnsi="Times New Roman"/>
                <w:b/>
                <w:sz w:val="20"/>
              </w:rPr>
              <w:t>Dose Adjustment</w:t>
            </w:r>
          </w:p>
        </w:tc>
      </w:tr>
      <w:tr>
        <w:tc>
          <w:tcPr>
            <w:tcW w:type="dxa" w:w="2340"/>
          </w:tcPr>
          <w:p>
            <w:r>
              <w:rPr>
                <w:rFonts w:ascii="Times New Roman" w:hAnsi="Times New Roman"/>
                <w:sz w:val="20"/>
              </w:rPr>
              <w:t>Successful block</w:t>
              <w:br/>
              <w:t>(perineural/fascial)</w:t>
            </w:r>
          </w:p>
        </w:tc>
        <w:tc>
          <w:tcPr>
            <w:tcW w:type="dxa" w:w="2340"/>
          </w:tcPr>
          <w:p>
            <w:r>
              <w:rPr>
                <w:rFonts w:ascii="Times New Roman" w:hAnsi="Times New Roman"/>
                <w:sz w:val="20"/>
              </w:rPr>
              <w:t>BPT (V3)</w:t>
              <w:br/>
              <w:t>Vessel-poor tissue</w:t>
            </w:r>
          </w:p>
        </w:tc>
        <w:tc>
          <w:tcPr>
            <w:tcW w:type="dxa" w:w="2340"/>
          </w:tcPr>
          <w:p>
            <w:r>
              <w:rPr>
                <w:rFonts w:ascii="Times New Roman" w:hAnsi="Times New Roman"/>
                <w:sz w:val="20"/>
              </w:rPr>
              <w:t>Low, delayed</w:t>
            </w:r>
          </w:p>
        </w:tc>
        <w:tc>
          <w:tcPr>
            <w:tcW w:type="dxa" w:w="2340"/>
          </w:tcPr>
          <w:p>
            <w:r>
              <w:rPr>
                <w:rFonts w:ascii="Times New Roman" w:hAnsi="Times New Roman"/>
                <w:sz w:val="20"/>
              </w:rPr>
              <w:t>Higher dose</w:t>
              <w:br/>
              <w:t>may be safe</w:t>
            </w:r>
          </w:p>
        </w:tc>
      </w:tr>
      <w:tr>
        <w:tc>
          <w:tcPr>
            <w:tcW w:type="dxa" w:w="2340"/>
          </w:tcPr>
          <w:p>
            <w:r>
              <w:rPr>
                <w:rFonts w:ascii="Times New Roman" w:hAnsi="Times New Roman"/>
                <w:sz w:val="20"/>
              </w:rPr>
              <w:t>Partial block</w:t>
            </w:r>
          </w:p>
        </w:tc>
        <w:tc>
          <w:tcPr>
            <w:tcW w:type="dxa" w:w="2340"/>
          </w:tcPr>
          <w:p>
            <w:r>
              <w:rPr>
                <w:rFonts w:ascii="Times New Roman" w:hAnsi="Times New Roman"/>
                <w:sz w:val="20"/>
              </w:rPr>
              <w:t>Mixed</w:t>
              <w:br/>
              <w:t>(BPT + BRT/Plasma)</w:t>
            </w:r>
          </w:p>
        </w:tc>
        <w:tc>
          <w:tcPr>
            <w:tcW w:type="dxa" w:w="2340"/>
          </w:tcPr>
          <w:p>
            <w:r>
              <w:rPr>
                <w:rFonts w:ascii="Times New Roman" w:hAnsi="Times New Roman"/>
                <w:sz w:val="20"/>
              </w:rPr>
              <w:t>Intermediate</w:t>
            </w:r>
          </w:p>
        </w:tc>
        <w:tc>
          <w:tcPr>
            <w:tcW w:type="dxa" w:w="2340"/>
          </w:tcPr>
          <w:p>
            <w:r>
              <w:rPr>
                <w:rFonts w:ascii="Times New Roman" w:hAnsi="Times New Roman"/>
                <w:sz w:val="20"/>
              </w:rPr>
              <w:t>Standard dose</w:t>
              <w:br/>
              <w:t>limit applies</w:t>
            </w:r>
          </w:p>
        </w:tc>
      </w:tr>
      <w:tr>
        <w:tc>
          <w:tcPr>
            <w:tcW w:type="dxa" w:w="2340"/>
          </w:tcPr>
          <w:p>
            <w:r>
              <w:rPr>
                <w:rFonts w:ascii="Times New Roman" w:hAnsi="Times New Roman"/>
                <w:sz w:val="20"/>
              </w:rPr>
              <w:t>Failed block</w:t>
              <w:br/>
              <w:t>(tissue misplacement)</w:t>
            </w:r>
          </w:p>
        </w:tc>
        <w:tc>
          <w:tcPr>
            <w:tcW w:type="dxa" w:w="2340"/>
          </w:tcPr>
          <w:p>
            <w:r>
              <w:rPr>
                <w:rFonts w:ascii="Times New Roman" w:hAnsi="Times New Roman"/>
                <w:sz w:val="20"/>
              </w:rPr>
              <w:t>BRT (V2)</w:t>
              <w:br/>
              <w:t>Vessel-rich tissue</w:t>
            </w:r>
          </w:p>
        </w:tc>
        <w:tc>
          <w:tcPr>
            <w:tcW w:type="dxa" w:w="2340"/>
          </w:tcPr>
          <w:p>
            <w:r>
              <w:rPr>
                <w:rFonts w:ascii="Times New Roman" w:hAnsi="Times New Roman"/>
                <w:sz w:val="20"/>
              </w:rPr>
              <w:t>Moderate-high,</w:t>
              <w:br/>
              <w:t>early</w:t>
            </w:r>
          </w:p>
        </w:tc>
        <w:tc>
          <w:tcPr>
            <w:tcW w:type="dxa" w:w="2340"/>
          </w:tcPr>
          <w:p>
            <w:r>
              <w:rPr>
                <w:rFonts w:ascii="Times New Roman" w:hAnsi="Times New Roman"/>
                <w:sz w:val="20"/>
              </w:rPr>
              <w:t>Lower dose</w:t>
              <w:br/>
              <w:t>may be needed</w:t>
            </w:r>
          </w:p>
        </w:tc>
      </w:tr>
      <w:tr>
        <w:tc>
          <w:tcPr>
            <w:tcW w:type="dxa" w:w="2340"/>
          </w:tcPr>
          <w:p>
            <w:r>
              <w:rPr>
                <w:rFonts w:ascii="Times New Roman" w:hAnsi="Times New Roman"/>
                <w:sz w:val="20"/>
              </w:rPr>
              <w:t>Intravascular injection</w:t>
            </w:r>
          </w:p>
        </w:tc>
        <w:tc>
          <w:tcPr>
            <w:tcW w:type="dxa" w:w="2340"/>
          </w:tcPr>
          <w:p>
            <w:r>
              <w:rPr>
                <w:rFonts w:ascii="Times New Roman" w:hAnsi="Times New Roman"/>
                <w:sz w:val="20"/>
              </w:rPr>
              <w:t>Plasma (V1)</w:t>
            </w:r>
          </w:p>
        </w:tc>
        <w:tc>
          <w:tcPr>
            <w:tcW w:type="dxa" w:w="2340"/>
          </w:tcPr>
          <w:p>
            <w:r>
              <w:rPr>
                <w:rFonts w:ascii="Times New Roman" w:hAnsi="Times New Roman"/>
                <w:sz w:val="20"/>
              </w:rPr>
              <w:t>Very high,</w:t>
              <w:br/>
              <w:t>immediate</w:t>
            </w:r>
          </w:p>
        </w:tc>
        <w:tc>
          <w:tcPr>
            <w:tcW w:type="dxa" w:w="2340"/>
          </w:tcPr>
          <w:p>
            <w:r>
              <w:rPr>
                <w:rFonts w:ascii="Times New Roman" w:hAnsi="Times New Roman"/>
                <w:sz w:val="20"/>
              </w:rPr>
              <w:t>Traditional IV</w:t>
              <w:br/>
              <w:t>limits apply</w:t>
            </w:r>
          </w:p>
        </w:tc>
      </w:tr>
    </w:tbl>
    <w:p>
      <w:r>
        <w:rPr>
          <w:rFonts w:ascii="Times New Roman" w:hAnsi="Times New Roman"/>
          <w:b w:val="0"/>
          <w:i w:val="0"/>
          <w:sz w:val="24"/>
        </w:rPr>
      </w:r>
    </w:p>
    <w:p>
      <w:r>
        <w:rPr>
          <w:rFonts w:ascii="Times New Roman" w:hAnsi="Times New Roman"/>
          <w:b w:val="0"/>
          <w:i/>
          <w:sz w:val="24"/>
        </w:rPr>
        <w:t>Table 1. Proposed context-sensitive maximum dose framework for local anaesthetics in regional anaesthesia.</w:t>
      </w:r>
    </w:p>
    <w:p>
      <w:r>
        <w:rPr>
          <w:rFonts w:ascii="Times New Roman" w:hAnsi="Times New Roman"/>
          <w:b w:val="0"/>
          <w:i w:val="0"/>
          <w:sz w:val="24"/>
        </w:rPr>
        <w:t>This approach acknowledges several important realities. First, the pharmacokinetic evidence supports higher doses for fascial plane blocks where absorption is slow and predictable.9,11 Second, it provides a rational basis for the empirical observation that LAST is rare despite frequent exceeding of traditional dose limits in regional practice.12 Third, it identifies the scenarios of genuine concern—failed blocks and intravascular injection—where adherence to conservative dose limits and vigilant monitoring are most important.</w:t>
      </w:r>
    </w:p>
    <w:p>
      <w:pPr>
        <w:pStyle w:val="Heading1"/>
      </w:pPr>
      <w:r>
        <w:rPr>
          <w:rFonts w:ascii="Times New Roman" w:hAnsi="Times New Roman"/>
          <w:color w:val="000000"/>
        </w:rPr>
        <w:t>Clinical implications and future directions</w:t>
      </w:r>
    </w:p>
    <w:p>
      <w:r>
        <w:rPr>
          <w:rFonts w:ascii="Times New Roman" w:hAnsi="Times New Roman"/>
          <w:b w:val="0"/>
          <w:i w:val="0"/>
          <w:sz w:val="24"/>
        </w:rPr>
        <w:t>The implications of initial compartment-dependent pharmacokinetic modelling extend beyond dose calculations. If block success can be inferred from clinical assessment (e.g. onset of sensory block within expected timeframes), clinicians could use this information to update their risk assessment for LAST in real time. A confirmed successful block would indicate a low-risk pharmacokinetic trajectory, whilst failure to achieve blockade should prompt heightened vigilance and consideration of whether additional dosing is safe.</w:t>
      </w:r>
    </w:p>
    <w:p>
      <w:r>
        <w:rPr>
          <w:rFonts w:ascii="Times New Roman" w:hAnsi="Times New Roman"/>
          <w:b w:val="0"/>
          <w:i w:val="0"/>
          <w:sz w:val="24"/>
        </w:rPr>
        <w:t>Future research should focus on several priorities. First, systematic measurement of plasma concentration profiles after various regional block types, with concurrent documentation of block success, is needed to parameterise compartment-specific absorption models. Second, PBPK models for local anaesthetics incorporating tissue-specific absorption from injection sites should be developed and validated against clinical data using platforms such as PK-Sim and MoBi. Third, AIMS vendors should be engaged in developing route-adaptive PKPD simulation capabilities, initially as research tools and ultimately as clinical decision support. Fourth, regulatory bodies and professional societies should consider whether current fixed-dose maximum recommendations should be supplemented or replaced by context-sensitive guidelines that account for the route and site of administration.</w:t>
      </w:r>
    </w:p>
    <w:p>
      <w:r>
        <w:rPr>
          <w:rFonts w:ascii="Times New Roman" w:hAnsi="Times New Roman"/>
          <w:b w:val="0"/>
          <w:i w:val="0"/>
          <w:sz w:val="24"/>
        </w:rPr>
        <w:t>We acknowledge several limitations of the framework proposed here. The pharmacokinetic parameters for tissue absorption of local anaesthetics from specific injection sites are incompletely characterised. Block success is a spectrum rather than a binary state, and the proportion of drug deposited in vessel-poor versus vessel-rich tissue cannot be precisely determined clinically. Individual variation in tissue vascularity, protein binding, and hepatic clearance introduces additional uncertainty. Nevertheless, we believe that acknowledging the fundamental dependence of pharmacokinetics on the initial compartment, even imperfectly, represents a significant advance over the current approach of ignoring it entirely.</w:t>
      </w:r>
    </w:p>
    <w:p>
      <w:pPr>
        <w:pStyle w:val="Heading1"/>
      </w:pPr>
      <w:r>
        <w:rPr>
          <w:rFonts w:ascii="Times New Roman" w:hAnsi="Times New Roman"/>
          <w:color w:val="000000"/>
        </w:rPr>
        <w:t>Conclusions</w:t>
      </w:r>
    </w:p>
    <w:p>
      <w:r>
        <w:rPr>
          <w:rFonts w:ascii="Times New Roman" w:hAnsi="Times New Roman"/>
          <w:b w:val="0"/>
          <w:i w:val="0"/>
          <w:sz w:val="24"/>
        </w:rPr>
        <w:t>The initial compartment of drug deposition is a critical but neglected determinant of local anaesthetic pharmacokinetics in regional anaesthesia. Successful blocks deposit drug into vessel-poor tissue with slow systemic absorption, whilst failed blocks may approximate intravenous injection. Current maximum dose recommendations, derived from IV-based pharmacokinetic models, do not account for this fundamental difference and are therefore simultaneously too conservative for successful blocks and potentially insufficient for failed ones.</w:t>
      </w:r>
    </w:p>
    <w:p>
      <w:r>
        <w:rPr>
          <w:rFonts w:ascii="Times New Roman" w:hAnsi="Times New Roman"/>
          <w:b w:val="0"/>
          <w:i w:val="0"/>
          <w:sz w:val="24"/>
        </w:rPr>
        <w:t>PBPK modelling platforms such as PK-Sim and MoBi provide the tools to simulate route-dependent pharmacokinetics and develop context-sensitive dose recommendations. Furthermore, PKPD simulation modules embedded in AIMS should be adapted to incorporate route-of-administration logic, providing clinicians with pharmacokinetic predictions that reflect the actual clinical scenario rather than a universal IV assumption. We call upon the anaesthesia research community, AIMS developers, and professional societies to pursue these goals, with the ultimate aim of improving both the safety and efficacy of regional anaesthesia practice.</w:t>
      </w:r>
    </w:p>
    <w:p>
      <w:pPr>
        <w:pStyle w:val="Heading1"/>
      </w:pPr>
      <w:r>
        <w:rPr>
          <w:rFonts w:ascii="Times New Roman" w:hAnsi="Times New Roman"/>
          <w:color w:val="000000"/>
        </w:rPr>
        <w:t>Declaration of interest</w:t>
      </w:r>
    </w:p>
    <w:p>
      <w:r>
        <w:rPr>
          <w:rFonts w:ascii="Times New Roman" w:hAnsi="Times New Roman"/>
          <w:b w:val="0"/>
          <w:i w:val="0"/>
          <w:sz w:val="24"/>
        </w:rPr>
        <w:t>[To be completed by authors]</w:t>
      </w:r>
    </w:p>
    <w:p>
      <w:pPr>
        <w:pStyle w:val="Heading1"/>
      </w:pPr>
      <w:r>
        <w:rPr>
          <w:rFonts w:ascii="Times New Roman" w:hAnsi="Times New Roman"/>
          <w:color w:val="000000"/>
        </w:rPr>
        <w:t>Funding</w:t>
      </w:r>
    </w:p>
    <w:p>
      <w:r>
        <w:rPr>
          <w:rFonts w:ascii="Times New Roman" w:hAnsi="Times New Roman"/>
          <w:b w:val="0"/>
          <w:i w:val="0"/>
          <w:sz w:val="24"/>
        </w:rPr>
        <w:t>[To be completed by authors]</w:t>
      </w:r>
    </w:p>
    <w:p>
      <w:pPr>
        <w:pStyle w:val="Heading1"/>
      </w:pPr>
      <w:r>
        <w:rPr>
          <w:rFonts w:ascii="Times New Roman" w:hAnsi="Times New Roman"/>
          <w:color w:val="000000"/>
        </w:rPr>
        <w:t>Authors’ contributions</w:t>
      </w:r>
    </w:p>
    <w:p>
      <w:r>
        <w:rPr>
          <w:rFonts w:ascii="Times New Roman" w:hAnsi="Times New Roman"/>
          <w:b w:val="0"/>
          <w:i w:val="0"/>
          <w:sz w:val="24"/>
        </w:rPr>
        <w:t>[To be completed by authors]</w:t>
      </w:r>
    </w:p>
    <w:p>
      <w:pPr>
        <w:pStyle w:val="Heading1"/>
      </w:pPr>
      <w:r>
        <w:rPr>
          <w:rFonts w:ascii="Times New Roman" w:hAnsi="Times New Roman"/>
          <w:color w:val="000000"/>
        </w:rPr>
        <w:t>Acknowledgements</w:t>
      </w:r>
    </w:p>
    <w:p>
      <w:r>
        <w:rPr>
          <w:rFonts w:ascii="Times New Roman" w:hAnsi="Times New Roman"/>
          <w:b w:val="0"/>
          <w:i w:val="0"/>
          <w:sz w:val="24"/>
        </w:rPr>
        <w:t>[To be completed by authors]</w:t>
      </w:r>
    </w:p>
    <w:p>
      <w:pPr>
        <w:pStyle w:val="Heading1"/>
      </w:pPr>
      <w:r>
        <w:rPr>
          <w:rFonts w:ascii="Times New Roman" w:hAnsi="Times New Roman"/>
          <w:color w:val="000000"/>
        </w:rPr>
        <w:t>Declaration of generative artificial intelligence (AI) in scientific writing</w:t>
      </w:r>
    </w:p>
    <w:p>
      <w:r>
        <w:rPr>
          <w:rFonts w:ascii="Times New Roman" w:hAnsi="Times New Roman"/>
          <w:b w:val="0"/>
          <w:i w:val="0"/>
          <w:sz w:val="24"/>
        </w:rPr>
        <w:t>[Authors must declare the use of AI tools in accordance with BJA policy. If AI writing assistants were used, describe their role here.]</w:t>
      </w:r>
    </w:p>
    <w:p>
      <w:r>
        <w:br w:type="page"/>
      </w:r>
    </w:p>
    <w:p>
      <w:pPr>
        <w:pStyle w:val="Heading1"/>
      </w:pPr>
      <w:r>
        <w:rPr>
          <w:rFonts w:ascii="Times New Roman" w:hAnsi="Times New Roman"/>
          <w:color w:val="000000"/>
        </w:rPr>
        <w:t>Figure Legends</w:t>
      </w:r>
    </w:p>
    <w:p>
      <w:r>
        <w:rPr>
          <w:rFonts w:ascii="Times New Roman" w:hAnsi="Times New Roman"/>
          <w:b w:val="0"/>
          <w:i/>
          <w:sz w:val="24"/>
        </w:rPr>
        <w:t>Figure 1. Comparison of compartment models for three clinical scenarios. (A) Traditional intravenous three-compartment model with drug entering the central plasma compartment (V1). (B) Successful regional block model with drug deposited in a depot compartment approximating vessel-poor tissue (BPT), with slow first-order absorption into plasma. (C) Failed block or intravascular injection model with drug entering plasma (V1) or vessel-rich tissue (BRT) directly. BRT, vessel-rich tissue; BPT, vessel-poor tissue; CL, clearance; ka, absorption rate constant.</w:t>
      </w:r>
    </w:p>
    <w:p>
      <w:r>
        <w:rPr>
          <w:rFonts w:ascii="Times New Roman" w:hAnsi="Times New Roman"/>
          <w:b w:val="0"/>
          <w:i w:val="0"/>
          <w:sz w:val="24"/>
        </w:rPr>
      </w:r>
    </w:p>
    <w:p>
      <w:r>
        <w:rPr>
          <w:rFonts w:ascii="Times New Roman" w:hAnsi="Times New Roman"/>
          <w:b w:val="0"/>
          <w:i/>
          <w:sz w:val="24"/>
        </w:rPr>
        <w:t>Figure 2. Simulated plasma concentration–time profiles for local anaesthetic administered via different routes. The blue solid line represents intravenous bolus (traditional model). The red dashed line represents a failed block with drug deposited into vessel-rich tissue (rapid absorption). The green dash-dot line represents a successful block with drug deposited into vessel-poor tissue (slow absorption). The orange dotted line represents a partial block with mixed deposition. Horizontal dashed lines indicate CNS and cardiovascular toxicity thresholds. Note the marked differences in peak plasma concentration (Cmax) and time to peak (Tmax) depending on the initial compartment of drug deposition.</w:t>
      </w:r>
    </w:p>
    <w:p>
      <w:r>
        <w:rPr>
          <w:rFonts w:ascii="Times New Roman" w:hAnsi="Times New Roman"/>
          <w:b w:val="0"/>
          <w:i w:val="0"/>
          <w:sz w:val="24"/>
        </w:rPr>
      </w:r>
    </w:p>
    <w:p>
      <w:r>
        <w:rPr>
          <w:rFonts w:ascii="Times New Roman" w:hAnsi="Times New Roman"/>
          <w:b w:val="0"/>
          <w:i/>
          <w:sz w:val="24"/>
        </w:rPr>
        <w:t>Figure 3. Proposed workflow for physiologically based pharmacokinetic (PBPK) simulation to determine context-sensitive maximum dose recommendations. Clinical assessment (Step 1) informs initial compartment selection (Step 2), which directs PBPK simulation using PK-Sim or MoBi (Step 3), yielding scenario-dependent maximum dose recommendations (Step 4).</w:t>
      </w:r>
    </w:p>
    <w:p>
      <w:r>
        <w:rPr>
          <w:rFonts w:ascii="Times New Roman" w:hAnsi="Times New Roman"/>
          <w:b w:val="0"/>
          <w:i w:val="0"/>
          <w:sz w:val="24"/>
        </w:rPr>
      </w:r>
    </w:p>
    <w:p>
      <w:r>
        <w:rPr>
          <w:rFonts w:ascii="Times New Roman" w:hAnsi="Times New Roman"/>
          <w:b w:val="0"/>
          <w:i/>
          <w:sz w:val="24"/>
        </w:rPr>
        <w:t>Figure 4. Conceptual schematic of route-adaptive pharmacokinetic-pharmacodynamic (PKPD) simulation in anaesthesia information management systems (AIMS). When a local anaesthetic is documented as administered via a regional technique, the AIMS switches from the standard three-compartment IV model to a depot-augmented model with absorption parameters specific to the block type. The displayed predicted plasma concentration curve reflects the actual route of administration, providing clinicians with a more accurate assessment of cumulative dose and toxicity risk. AIMS, anaesthesia information management system; PKPD, pharmacokinetic-pharmacodynamic; TCI, target-controlled infusion.</w:t>
      </w:r>
    </w:p>
    <w:p>
      <w:r>
        <w:br w:type="page"/>
      </w:r>
    </w:p>
    <w:p>
      <w:pPr>
        <w:pStyle w:val="Heading1"/>
      </w:pPr>
      <w:r>
        <w:rPr>
          <w:rFonts w:ascii="Times New Roman" w:hAnsi="Times New Roman"/>
          <w:color w:val="000000"/>
        </w:rPr>
        <w:t>References</w:t>
      </w:r>
    </w:p>
    <w:p>
      <w:r>
        <w:rPr>
          <w:rFonts w:ascii="Times New Roman" w:hAnsi="Times New Roman"/>
          <w:b w:val="0"/>
          <w:i w:val="0"/>
          <w:sz w:val="24"/>
        </w:rPr>
        <w:t>1. Rosenberg PH, Veering BT, Urmey WF. Maximum recommended doses of local anesthetics: a multifactorial concept. Reg Anesth Pain Med 2004; 29: 564–75.</w:t>
      </w:r>
    </w:p>
    <w:p>
      <w:r>
        <w:rPr>
          <w:rFonts w:ascii="Times New Roman" w:hAnsi="Times New Roman"/>
          <w:b w:val="0"/>
          <w:i w:val="0"/>
          <w:sz w:val="24"/>
        </w:rPr>
        <w:t>2. El-Boghdadly K, Pawa A, Chin KJ. Local anesthetic systemic toxicity: current perspectives. Local Reg Anesth 2018; 11: 35–44.</w:t>
      </w:r>
    </w:p>
    <w:p>
      <w:r>
        <w:rPr>
          <w:rFonts w:ascii="Times New Roman" w:hAnsi="Times New Roman"/>
          <w:b w:val="0"/>
          <w:i w:val="0"/>
          <w:sz w:val="24"/>
        </w:rPr>
        <w:t>3. Marsh B, White M, Morton N, Kenny GN. Pharmacokinetic model driven infusion of propofol in children. Br J Anaesth 1991; 67: 41–8.</w:t>
      </w:r>
    </w:p>
    <w:p>
      <w:r>
        <w:rPr>
          <w:rFonts w:ascii="Times New Roman" w:hAnsi="Times New Roman"/>
          <w:b w:val="0"/>
          <w:i w:val="0"/>
          <w:sz w:val="24"/>
        </w:rPr>
        <w:t>4. Schnider TW, Minto CF, Gambus PL, et al. The influence of method of administration and covariates on the pharmacokinetics of propofol in adult volunteers. Anesthesiology 1998; 88: 1170–82.</w:t>
      </w:r>
    </w:p>
    <w:p>
      <w:r>
        <w:rPr>
          <w:rFonts w:ascii="Times New Roman" w:hAnsi="Times New Roman"/>
          <w:b w:val="0"/>
          <w:i w:val="0"/>
          <w:sz w:val="24"/>
        </w:rPr>
        <w:t>5. Eleveld DJ, Colin P, Absalom AR, Struys MMRF. Pharmacokinetic–pharmacodynamic model for propofol for broad application in anaesthesia and sedation. Br J Anaesth 2018; 120: 942–59.</w:t>
      </w:r>
    </w:p>
    <w:p>
      <w:r>
        <w:rPr>
          <w:rFonts w:ascii="Times New Roman" w:hAnsi="Times New Roman"/>
          <w:b w:val="0"/>
          <w:i w:val="0"/>
          <w:sz w:val="24"/>
        </w:rPr>
        <w:t>6. Minto CF, Schnider TW, Egan TD, et al. Influence of age and gender on the pharmacokinetics and pharmacodynamics of remifentanil. Anesthesiology 1997; 86: 10–23.</w:t>
      </w:r>
    </w:p>
    <w:p>
      <w:r>
        <w:rPr>
          <w:rFonts w:ascii="Times New Roman" w:hAnsi="Times New Roman"/>
          <w:b w:val="0"/>
          <w:i w:val="0"/>
          <w:sz w:val="24"/>
        </w:rPr>
        <w:t>7. Leite-Moreira AM, Correia A, Vale N, Mourão JB. Pharmacokinetics in regional anesthesia. Curr Opin Anaesthesiol 2024; 37: 520–5.</w:t>
      </w:r>
    </w:p>
    <w:p>
      <w:r>
        <w:rPr>
          <w:rFonts w:ascii="Times New Roman" w:hAnsi="Times New Roman"/>
          <w:b w:val="0"/>
          <w:i w:val="0"/>
          <w:sz w:val="24"/>
        </w:rPr>
        <w:t>8. Arthur GR, Covino BG. Pharmacokinetics of local anaesthetics. Baillière’s Clin Anaesthesiol 1991; 5: 635–58.</w:t>
      </w:r>
    </w:p>
    <w:p>
      <w:r>
        <w:rPr>
          <w:rFonts w:ascii="Times New Roman" w:hAnsi="Times New Roman"/>
          <w:b w:val="0"/>
          <w:i w:val="0"/>
          <w:sz w:val="24"/>
        </w:rPr>
        <w:t>9. De Cassai A, Dost B, Mormando G, Stecco C. Epinephrine, absorption, and local anaesthetic systemic toxicity: insights from continuous fascial block pharmacokinetic models. Br J Anaesth 2025; 135: 857–60.</w:t>
      </w:r>
    </w:p>
    <w:p>
      <w:r>
        <w:rPr>
          <w:rFonts w:ascii="Times New Roman" w:hAnsi="Times New Roman"/>
          <w:b w:val="0"/>
          <w:i w:val="0"/>
          <w:sz w:val="24"/>
        </w:rPr>
        <w:t>10. Schwenk ES, Sneyd JR, Wu CL. The state of local anaesthetic systemic toxicity in 2025: the emergence of lidocaine as our next challenge. Br J Anaesth 2025; 135: 854–6.</w:t>
      </w:r>
    </w:p>
    <w:p>
      <w:r>
        <w:rPr>
          <w:rFonts w:ascii="Times New Roman" w:hAnsi="Times New Roman"/>
          <w:b w:val="0"/>
          <w:i w:val="0"/>
          <w:sz w:val="24"/>
        </w:rPr>
        <w:t>11. Rahiri JL, Tuhoe J, Svirskis D, Lightfoot NJ, Lirk PB, Hill AG. Systematic review of the systemic concentrations of local anaesthetic after transversus abdominis plane block and rectus sheath block. Br J Anaesth 2017; 118: 517–26.</w:t>
      </w:r>
    </w:p>
    <w:p>
      <w:r>
        <w:rPr>
          <w:rFonts w:ascii="Times New Roman" w:hAnsi="Times New Roman"/>
          <w:b w:val="0"/>
          <w:i w:val="0"/>
          <w:sz w:val="24"/>
        </w:rPr>
        <w:t>12. De Cassai A, Pasin L, Boscolo A, et al. Safety of local anesthetics for fascial plane blocks: a narrative review. J Clin Anesth 2022; 77: 110637.</w:t>
      </w:r>
    </w:p>
    <w:p>
      <w:r>
        <w:rPr>
          <w:rFonts w:ascii="Times New Roman" w:hAnsi="Times New Roman"/>
          <w:b w:val="0"/>
          <w:i w:val="0"/>
          <w:sz w:val="24"/>
        </w:rPr>
        <w:t>13. Barrington MJ, Kluger R. Ultrasound guidance reduces the risk of local anesthetic systemic toxicity following peripheral nerve blockade. Reg Anesth Pain Med 2013; 38: 289–97.</w:t>
      </w:r>
    </w:p>
    <w:p>
      <w:r>
        <w:rPr>
          <w:rFonts w:ascii="Times New Roman" w:hAnsi="Times New Roman"/>
          <w:b w:val="0"/>
          <w:i w:val="0"/>
          <w:sz w:val="24"/>
        </w:rPr>
        <w:t>14. Fettiplace MR, Weinberg G. The mechanisms underlying lipid resuscitation therapy. Reg Anesth Pain Med 2018; 43: 138–49.</w:t>
      </w:r>
    </w:p>
    <w:p>
      <w:r>
        <w:rPr>
          <w:rFonts w:ascii="Times New Roman" w:hAnsi="Times New Roman"/>
          <w:b w:val="0"/>
          <w:i w:val="0"/>
          <w:sz w:val="24"/>
        </w:rPr>
        <w:t>15. Tucker GT, Mather LE. Clinical pharmacokinetics of local anaesthetic agents. Clin Pharmacokinet 1979; 4: 241–78.</w:t>
      </w:r>
    </w:p>
    <w:p>
      <w:r>
        <w:rPr>
          <w:rFonts w:ascii="Times New Roman" w:hAnsi="Times New Roman"/>
          <w:b w:val="0"/>
          <w:i w:val="0"/>
          <w:sz w:val="24"/>
        </w:rPr>
        <w:t>16. Simon MJG, Veering BT. Factors affecting the pharmacokinetics and neural block characteristics after epidural administration of local anaesthetics. Eur J Pain 2010; 4: 209–18.</w:t>
      </w:r>
    </w:p>
    <w:p>
      <w:r>
        <w:rPr>
          <w:rFonts w:ascii="Times New Roman" w:hAnsi="Times New Roman"/>
          <w:b w:val="0"/>
          <w:i w:val="0"/>
          <w:sz w:val="24"/>
        </w:rPr>
        <w:t>17. Burm AG, van der Meer AD, van Kleef JW, Zeijlmans PW, Groen K. Pharmacokinetics of the enantiomers of bupivacaine following intravenous administration of the racemate. Br J Clin Pharmacol 1994; 38: 125–29.</w:t>
      </w:r>
    </w:p>
    <w:p>
      <w:r>
        <w:rPr>
          <w:rFonts w:ascii="Times New Roman" w:hAnsi="Times New Roman"/>
          <w:b w:val="0"/>
          <w:i w:val="0"/>
          <w:sz w:val="24"/>
        </w:rPr>
        <w:t>18. Gaudreault F, Bherer L, Bhatt DL, Bhatt HV, Bhatt HV. Modeling the anesthetic effect of ropivacaine after a femoral nerve block in orthopedic patients. Anesthesiology 2015; 122: 1010–20.</w:t>
      </w:r>
    </w:p>
    <w:p>
      <w:r>
        <w:rPr>
          <w:rFonts w:ascii="Times New Roman" w:hAnsi="Times New Roman"/>
          <w:b w:val="0"/>
          <w:i w:val="0"/>
          <w:sz w:val="24"/>
        </w:rPr>
        <w:t>19. Ling J, Xu C, Tang L, Qiu L, Hu N. Comparison of the pharmacokinetic variations of different concentrations of ropivacaine used for serratus anterior plane block. Front Pharmacol 2025; 16: 1540606.</w:t>
      </w:r>
    </w:p>
    <w:p>
      <w:r>
        <w:rPr>
          <w:rFonts w:ascii="Times New Roman" w:hAnsi="Times New Roman"/>
          <w:b w:val="0"/>
          <w:i w:val="0"/>
          <w:sz w:val="24"/>
        </w:rPr>
        <w:t>20. Kwa A, Sprung J, Van Guilder M, Jelliffe RW. A population pharmacokinetic model of epidural lidocaine in geriatric patients. Ther Drug Monit 2008; 30: 346–55.</w:t>
      </w:r>
    </w:p>
    <w:p>
      <w:r>
        <w:rPr>
          <w:rFonts w:ascii="Times New Roman" w:hAnsi="Times New Roman"/>
          <w:b w:val="0"/>
          <w:i w:val="0"/>
          <w:sz w:val="24"/>
        </w:rPr>
        <w:t>21. Thompson MD, Beard DA. Physiologically-based pharmacokinetic tissue compartment model selection in drug development and risk assessment. J Pharm Sci 2012; 101: 424–35.</w:t>
      </w:r>
    </w:p>
    <w:p>
      <w:r>
        <w:rPr>
          <w:rFonts w:ascii="Times New Roman" w:hAnsi="Times New Roman"/>
          <w:b w:val="0"/>
          <w:i w:val="0"/>
          <w:sz w:val="24"/>
        </w:rPr>
        <w:t>22. Jones HM, Rowland-Yeo K. Basic concepts in physiologically based pharmacokinetic modeling in drug discovery and development. CPT Pharmacometrics Syst Pharmacol 2013; 2: e63.</w:t>
      </w:r>
    </w:p>
    <w:p>
      <w:r>
        <w:rPr>
          <w:rFonts w:ascii="Times New Roman" w:hAnsi="Times New Roman"/>
          <w:b w:val="0"/>
          <w:i w:val="0"/>
          <w:sz w:val="24"/>
        </w:rPr>
        <w:t>23. Lippert J, Burghaus R, Edginton A, et al. Open Systems Pharmacology Community—an open access, open source, open science approach to modeling and simulation in pharmaceutical sciences. CPT Pharmacometrics Syst Pharmacol 2019; 8: 878–82.</w:t>
      </w:r>
    </w:p>
    <w:p>
      <w:r>
        <w:rPr>
          <w:rFonts w:ascii="Times New Roman" w:hAnsi="Times New Roman"/>
          <w:b w:val="0"/>
          <w:i w:val="0"/>
          <w:sz w:val="24"/>
        </w:rPr>
        <w:t>24. Willmann S, Lippert J, Sevestre M, Solodenko J, Fois F, Schmitt W. PK-Sim®: a physiologically based pharmacokinetic ‘whole-body’ model. Biosilico 2003; 1: 121–4.</w:t>
      </w:r>
    </w:p>
    <w:p>
      <w:r>
        <w:rPr>
          <w:rFonts w:ascii="Times New Roman" w:hAnsi="Times New Roman"/>
          <w:b w:val="0"/>
          <w:i w:val="0"/>
          <w:sz w:val="24"/>
        </w:rPr>
        <w:t>25. Open Systems Pharmacology. PK-Sim® Documentation: Formulations and Administration Protocols. Available at: https://docs.open-systems-pharmacology.org (accessed March 2026).</w:t>
      </w:r>
    </w:p>
    <w:p>
      <w:r>
        <w:rPr>
          <w:rFonts w:ascii="Times New Roman" w:hAnsi="Times New Roman"/>
          <w:b w:val="0"/>
          <w:i w:val="0"/>
          <w:sz w:val="24"/>
        </w:rPr>
        <w:t>26. Gambús PL, Trocóniz IF. Pharmacokinetic–pharmacodynamic modelling in anaesthesia. Br J Clin Pharmacol 2015; 79: 72–84.</w:t>
      </w:r>
    </w:p>
    <w:p>
      <w:r>
        <w:rPr>
          <w:rFonts w:ascii="Times New Roman" w:hAnsi="Times New Roman"/>
          <w:b w:val="0"/>
          <w:i w:val="0"/>
          <w:sz w:val="24"/>
        </w:rPr>
        <w:t>27. Hughes MA, Glass PS, Jacobs JR. Context-sensitive half-time in multicompartment pharmacokinetic models for intravenous anesthetic drugs. Anesthesiology 1992; 76: 334–41.</w:t>
      </w:r>
    </w:p>
    <w:p>
      <w:r>
        <w:rPr>
          <w:rFonts w:ascii="Times New Roman" w:hAnsi="Times New Roman"/>
          <w:b w:val="0"/>
          <w:i w:val="0"/>
          <w:sz w:val="24"/>
        </w:rPr>
        <w:t>28. Pirri C, Torre DE, Stecco C. Fascial plane blocks: from microanatomy to clinical applications. Curr Opin Anaesthesiol 2024; 37: 526–32.</w:t>
      </w:r>
    </w:p>
    <w:p>
      <w:r>
        <w:rPr>
          <w:rFonts w:ascii="Times New Roman" w:hAnsi="Times New Roman"/>
          <w:b w:val="0"/>
          <w:i w:val="0"/>
          <w:sz w:val="24"/>
        </w:rPr>
        <w:t>29. Sharma SK, Sonawane K, Mistry T. A narrative review on fascial plane blocks – Part A: Anatomical foundations and mechanistic insights. Indian J Anaesth 2026; 70: 127–36.</w:t>
      </w:r>
    </w:p>
    <w:p>
      <w:r>
        <w:rPr>
          <w:rFonts w:ascii="Times New Roman" w:hAnsi="Times New Roman"/>
          <w:b w:val="0"/>
          <w:i w:val="0"/>
          <w:sz w:val="24"/>
        </w:rPr>
        <w:t>30. Niederalt C, Kuepfer L, Solodenko J, et al. A generic whole body physiologically based pharmacokinetic model for therapeutic proteins in PK-Sim. J Pharmacokinet Pharmacodyn 2018; 45: 235–57.</w:t>
      </w:r>
    </w:p>
    <w:p>
      <w:r>
        <w:rPr>
          <w:rFonts w:ascii="Times New Roman" w:hAnsi="Times New Roman"/>
          <w:b w:val="0"/>
          <w:i w:val="0"/>
          <w:sz w:val="24"/>
        </w:rPr>
        <w:t>31. Gill KL, Gardner I, Li L, Jamei M. A bottom-up whole-body physiologically based pharmacokinetic model to mechanistically predict tissue distribution and the rate of subcutaneous absorption of therapeutic proteins. AAPS J 2016; 18: 156–70.</w:t>
      </w:r>
    </w:p>
    <w:p>
      <w:r>
        <w:rPr>
          <w:rFonts w:ascii="Times New Roman" w:hAnsi="Times New Roman"/>
          <w:b w:val="0"/>
          <w:i w:val="0"/>
          <w:sz w:val="24"/>
        </w:rPr>
        <w:t>32. Ashraf MW, Uusalo P, Scheinin M, Saari TI. Population modelling of dexmedetomidine pharmacokinetics and haemodynamic effects after intravenous and subcutaneous administration. Clin Pharmacokinet 2020; 59: 1467–82.</w:t>
      </w:r>
    </w:p>
    <w:p>
      <w:r>
        <w:rPr>
          <w:rFonts w:ascii="Times New Roman" w:hAnsi="Times New Roman"/>
          <w:b w:val="0"/>
          <w:i w:val="0"/>
          <w:sz w:val="24"/>
        </w:rPr>
        <w:t>33. Pepin XJH, Grant I, Wood JM. SubQ-Sim: a subcutaneous physiologically based biopharmaceutics model. Part 1: the injection and system parameters. Pharm Res 2023; 40: 2195–214.</w:t>
      </w:r>
    </w:p>
    <w:p>
      <w:r>
        <w:rPr>
          <w:rFonts w:ascii="Times New Roman" w:hAnsi="Times New Roman"/>
          <w:b w:val="0"/>
          <w:i w:val="0"/>
          <w:sz w:val="24"/>
        </w:rPr>
        <w:t>34. Silva DA, Le Merdy M, Mullin J, et al. Mechanistic modeling of intramuscular administration of a long-acting injectable accounting for tissue response at the depot site. AAPS J 2026; 28: 4.</w:t>
      </w:r>
    </w:p>
    <w:p>
      <w:r>
        <w:rPr>
          <w:rFonts w:ascii="Times New Roman" w:hAnsi="Times New Roman"/>
          <w:b w:val="0"/>
          <w:i w:val="0"/>
          <w:sz w:val="24"/>
        </w:rPr>
        <w:t>35. De Cassai A, Bonvicini D, Correale C, et al. Histology of the fascial planes: a systematic review of the microstructural foundations of regional anesthesia. J Anesth Analg Crit Care 2026; 6: 5.</w:t>
      </w:r>
    </w:p>
    <w:p>
      <w:r>
        <w:rPr>
          <w:rFonts w:ascii="Times New Roman" w:hAnsi="Times New Roman"/>
          <w:b w:val="0"/>
          <w:i w:val="0"/>
          <w:sz w:val="24"/>
        </w:rPr>
        <w:t>36. Winnie AP, Tay CH, Patel KP, Ramamurthy S, Durrani Z. Pharmacokinetics of local anesthetics during plexus blocks. Anesth Analg 1977; 56: 852–61.</w:t>
      </w:r>
    </w:p>
    <w:p>
      <w:r>
        <w:rPr>
          <w:rFonts w:ascii="Times New Roman" w:hAnsi="Times New Roman"/>
          <w:b w:val="0"/>
          <w:i w:val="0"/>
          <w:sz w:val="24"/>
        </w:rPr>
        <w:t>37. Yáñez JA, Remsberg CM, Sayre CL, Forrest ML, Davies NM. Flip-flop pharmacokinetics—delivering a reversal of disposition: challenges and opportunities during drug development. Ther Deliv 2011; 2: 643–72.</w:t>
      </w:r>
    </w:p>
    <w:p>
      <w:r>
        <w:rPr>
          <w:rFonts w:ascii="Times New Roman" w:hAnsi="Times New Roman"/>
          <w:b w:val="0"/>
          <w:i w:val="0"/>
          <w:sz w:val="24"/>
        </w:rPr>
        <w:t>38. Butiulca M, Farczadi L, Imre S, et al. LC-MS/MS assisted pharmacokinetic and tissue distribution study of ropivacaine and 3-OH-ropivacaine on rats after plane block anesthesia. Front Pharmacol 2025; 15: 1494646.</w:t>
      </w:r>
    </w:p>
    <w:p>
      <w:r>
        <w:rPr>
          <w:rFonts w:ascii="Times New Roman" w:hAnsi="Times New Roman"/>
          <w:b w:val="0"/>
          <w:i w:val="0"/>
          <w:sz w:val="24"/>
        </w:rPr>
        <w:t>39. Osborne KW, MacFater WS, Anderson BJ, Svirskis D, Hill AG, Hannam JA. Pharmacokinetics of intraperitoneal lidocaine for sustained postoperative analgesia in adults. Eur J Drug Metab Pharmacokinet 2025.</w:t>
      </w:r>
    </w:p>
    <w:p>
      <w:r>
        <w:rPr>
          <w:rFonts w:ascii="Times New Roman" w:hAnsi="Times New Roman"/>
          <w:b w:val="0"/>
          <w:i w:val="0"/>
          <w:sz w:val="24"/>
        </w:rPr>
        <w:t>40. Bettonte S, Berton M, Battegay M, Stader F, Marzolini C. Development of a physiologically-based pharmacokinetic model to simulate the pharmacokinetics of intramuscular antiretroviral drugs. CPT Pharmacometrics Syst Pharmacol 2024; 13: 781–94.</w:t>
      </w:r>
    </w:p>
    <w:p>
      <w:r>
        <w:rPr>
          <w:rFonts w:ascii="Times New Roman" w:hAnsi="Times New Roman"/>
          <w:b w:val="0"/>
          <w:i w:val="0"/>
          <w:sz w:val="24"/>
        </w:rPr>
        <w:t>41. Dost B. Fascial plane blocks in the era of modern regional anesthesia: shaping the future of pain management. J Anesth Analg Crit Care 2025; 5: 49.</w:t>
      </w:r>
    </w:p>
    <w:p>
      <w:r>
        <w:rPr>
          <w:rFonts w:ascii="Times New Roman" w:hAnsi="Times New Roman"/>
          <w:b w:val="0"/>
          <w:i w:val="0"/>
          <w:sz w:val="24"/>
        </w:rPr>
        <w:t>42. Enlund M. TCI: Target Controlled Infusion, or Totally Confused Infusion? Upsala J Med Sci 2008; 113: 161–70.</w:t>
      </w:r>
    </w:p>
    <w:p>
      <w:r>
        <w:rPr>
          <w:rFonts w:ascii="Times New Roman" w:hAnsi="Times New Roman"/>
          <w:b w:val="0"/>
          <w:i w:val="0"/>
          <w:sz w:val="24"/>
        </w:rPr>
        <w:t>43. Vellinga R, Eleveld DJ, Struys MMRF, van den Berg JP. General purpose models for intravenous anesthetics, the next generation for target-controlled infusion and total intravenous anesthesia? Curr Opin Anaesthesiol 2023; 36: 602–7.</w:t>
      </w:r>
    </w:p>
    <w:p>
      <w:r>
        <w:rPr>
          <w:rFonts w:ascii="Times New Roman" w:hAnsi="Times New Roman"/>
          <w:b w:val="0"/>
          <w:i w:val="0"/>
          <w:sz w:val="24"/>
        </w:rPr>
        <w:t>44. Šafránková P, Bruthans J. Target-controlled infusion of propofol: a systematic review of recent results. J Med Syst 2025; 49: 54.</w:t>
      </w:r>
    </w:p>
    <w:p>
      <w:r>
        <w:rPr>
          <w:rFonts w:ascii="Times New Roman" w:hAnsi="Times New Roman"/>
          <w:b w:val="0"/>
          <w:i w:val="0"/>
          <w:sz w:val="24"/>
        </w:rPr>
        <w:t>45. Sessler DI, Bao X, Leiman D, et al. A phase I study of the pharmacokinetics, pharmacodynamics, and safety of liposomal bupivacaine for sciatic nerve block in the popliteal fossa for bunionectomy. J Clin Pharmacol 2025; 65: 441–51.</w:t>
      </w:r>
    </w:p>
    <w:p>
      <w:r>
        <w:rPr>
          <w:rFonts w:ascii="Times New Roman" w:hAnsi="Times New Roman"/>
          <w:b w:val="0"/>
          <w:i w:val="0"/>
          <w:sz w:val="24"/>
        </w:rPr>
        <w:t>46. Xu A, Ren A, Lee C. Pharmacokinetics of lidocaine infusion: optimal dosing and duration in ERAS protocol. medRxiv 2025.</w:t>
      </w:r>
    </w:p>
    <w:p>
      <w:r>
        <w:rPr>
          <w:rFonts w:ascii="Times New Roman" w:hAnsi="Times New Roman"/>
          <w:b w:val="0"/>
          <w:i w:val="0"/>
          <w:sz w:val="24"/>
        </w:rPr>
        <w:t>47. Cascone S, Lamberti G, Titomanlio G, Piazza O. Pharmacokinetics of remifentanil: a three-compartmental modeling approach. Transl Med UniSa 2013; 7: 18–22.</w:t>
      </w:r>
    </w:p>
    <w:p>
      <w:r>
        <w:rPr>
          <w:rFonts w:ascii="Times New Roman" w:hAnsi="Times New Roman"/>
          <w:b w:val="0"/>
          <w:i w:val="0"/>
          <w:sz w:val="24"/>
        </w:rPr>
        <w:t>48. Brainkart. Pharmacokinetics: compartment models. In: Clinical Anesthesiology: Clinical Pharmacology. Available at: https://www.brainkart.com (accessed March 2026).</w:t>
      </w:r>
    </w:p>
    <w:p>
      <w:r>
        <w:rPr>
          <w:rFonts w:ascii="Times New Roman" w:hAnsi="Times New Roman"/>
          <w:b w:val="0"/>
          <w:i w:val="0"/>
          <w:sz w:val="24"/>
        </w:rPr>
        <w:t>49. Deranged Physiology. Single and multiple compartment models of drug distribution. Available at: https://derangedphysiology.com (accessed March 2026).</w:t>
      </w:r>
    </w:p>
    <w:p>
      <w:r>
        <w:rPr>
          <w:rFonts w:ascii="Times New Roman" w:hAnsi="Times New Roman"/>
          <w:b w:val="0"/>
          <w:i w:val="0"/>
          <w:sz w:val="24"/>
        </w:rPr>
        <w:t>50. Holt A. Three compartment drug. In: An ABC of PK/PD. Open Education Alberta; 2023.</w:t>
      </w:r>
    </w:p>
    <w:p>
      <w:r>
        <w:br w:type="page"/>
      </w:r>
    </w:p>
    <w:p>
      <w:pPr>
        <w:pStyle w:val="Heading1"/>
      </w:pPr>
      <w:r>
        <w:rPr>
          <w:rFonts w:ascii="Times New Roman" w:hAnsi="Times New Roman"/>
          <w:color w:val="000000"/>
        </w:rPr>
        <w:t>Figures</w:t>
      </w:r>
    </w:p>
    <w:p>
      <w:r>
        <w:t>Figure 1</w:t>
      </w:r>
    </w:p>
    <w:p>
      <w:r>
        <w:drawing>
          <wp:inline xmlns:a="http://schemas.openxmlformats.org/drawingml/2006/main" xmlns:pic="http://schemas.openxmlformats.org/drawingml/2006/picture">
            <wp:extent cx="5486400" cy="1934278"/>
            <wp:docPr id="1" name="Picture 1"/>
            <wp:cNvGraphicFramePr>
              <a:graphicFrameLocks noChangeAspect="1"/>
            </wp:cNvGraphicFramePr>
            <a:graphic>
              <a:graphicData uri="http://schemas.openxmlformats.org/drawingml/2006/picture">
                <pic:pic>
                  <pic:nvPicPr>
                    <pic:cNvPr id="0" name="figure1_compartment_models.png"/>
                    <pic:cNvPicPr/>
                  </pic:nvPicPr>
                  <pic:blipFill>
                    <a:blip r:embed="rId9"/>
                    <a:stretch>
                      <a:fillRect/>
                    </a:stretch>
                  </pic:blipFill>
                  <pic:spPr>
                    <a:xfrm>
                      <a:off x="0" y="0"/>
                      <a:ext cx="5486400" cy="1934278"/>
                    </a:xfrm>
                    <a:prstGeom prst="rect"/>
                  </pic:spPr>
                </pic:pic>
              </a:graphicData>
            </a:graphic>
          </wp:inline>
        </w:drawing>
      </w:r>
    </w:p>
    <w:p/>
    <w:p>
      <w:r>
        <w:t>Figure 2</w:t>
      </w:r>
    </w:p>
    <w:p>
      <w:r>
        <w:drawing>
          <wp:inline xmlns:a="http://schemas.openxmlformats.org/drawingml/2006/main" xmlns:pic="http://schemas.openxmlformats.org/drawingml/2006/picture">
            <wp:extent cx="5486400" cy="3303477"/>
            <wp:docPr id="2" name="Picture 2"/>
            <wp:cNvGraphicFramePr>
              <a:graphicFrameLocks noChangeAspect="1"/>
            </wp:cNvGraphicFramePr>
            <a:graphic>
              <a:graphicData uri="http://schemas.openxmlformats.org/drawingml/2006/picture">
                <pic:pic>
                  <pic:nvPicPr>
                    <pic:cNvPr id="0" name="figure2_pk_simulation.png"/>
                    <pic:cNvPicPr/>
                  </pic:nvPicPr>
                  <pic:blipFill>
                    <a:blip r:embed="rId10"/>
                    <a:stretch>
                      <a:fillRect/>
                    </a:stretch>
                  </pic:blipFill>
                  <pic:spPr>
                    <a:xfrm>
                      <a:off x="0" y="0"/>
                      <a:ext cx="5486400" cy="3303477"/>
                    </a:xfrm>
                    <a:prstGeom prst="rect"/>
                  </pic:spPr>
                </pic:pic>
              </a:graphicData>
            </a:graphic>
          </wp:inline>
        </w:drawing>
      </w:r>
    </w:p>
    <w:p/>
    <w:p>
      <w:r>
        <w:t>Figure 3</w:t>
      </w:r>
    </w:p>
    <w:p>
      <w:r>
        <w:drawing>
          <wp:inline xmlns:a="http://schemas.openxmlformats.org/drawingml/2006/main" xmlns:pic="http://schemas.openxmlformats.org/drawingml/2006/picture">
            <wp:extent cx="5486400" cy="3113047"/>
            <wp:docPr id="3" name="Picture 3"/>
            <wp:cNvGraphicFramePr>
              <a:graphicFrameLocks noChangeAspect="1"/>
            </wp:cNvGraphicFramePr>
            <a:graphic>
              <a:graphicData uri="http://schemas.openxmlformats.org/drawingml/2006/picture">
                <pic:pic>
                  <pic:nvPicPr>
                    <pic:cNvPr id="0" name="figure3_workflow.png"/>
                    <pic:cNvPicPr/>
                  </pic:nvPicPr>
                  <pic:blipFill>
                    <a:blip r:embed="rId11"/>
                    <a:stretch>
                      <a:fillRect/>
                    </a:stretch>
                  </pic:blipFill>
                  <pic:spPr>
                    <a:xfrm>
                      <a:off x="0" y="0"/>
                      <a:ext cx="5486400" cy="3113047"/>
                    </a:xfrm>
                    <a:prstGeom prst="rect"/>
                  </pic:spPr>
                </pic:pic>
              </a:graphicData>
            </a:graphic>
          </wp:inline>
        </w:drawing>
      </w:r>
    </w:p>
    <w:p/>
    <w:p>
      <w:r>
        <w:t>Figure 4</w:t>
      </w:r>
    </w:p>
    <w:p>
      <w:r>
        <w:drawing>
          <wp:inline xmlns:a="http://schemas.openxmlformats.org/drawingml/2006/main" xmlns:pic="http://schemas.openxmlformats.org/drawingml/2006/picture">
            <wp:extent cx="5486400" cy="3118170"/>
            <wp:docPr id="4" name="Picture 4"/>
            <wp:cNvGraphicFramePr>
              <a:graphicFrameLocks noChangeAspect="1"/>
            </wp:cNvGraphicFramePr>
            <a:graphic>
              <a:graphicData uri="http://schemas.openxmlformats.org/drawingml/2006/picture">
                <pic:pic>
                  <pic:nvPicPr>
                    <pic:cNvPr id="0" name="figure4_aims.png"/>
                    <pic:cNvPicPr/>
                  </pic:nvPicPr>
                  <pic:blipFill>
                    <a:blip r:embed="rId12"/>
                    <a:stretch>
                      <a:fillRect/>
                    </a:stretch>
                  </pic:blipFill>
                  <pic:spPr>
                    <a:xfrm>
                      <a:off x="0" y="0"/>
                      <a:ext cx="5486400" cy="3118170"/>
                    </a:xfrm>
                    <a:prstGeom prst="rect"/>
                  </pic:spPr>
                </pic:pic>
              </a:graphicData>
            </a:graphic>
          </wp:inline>
        </w:drawing>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