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[Your name]</w:t>
        <w:br/>
        <w:t>[Your department and institution]</w:t>
        <w:br/>
        <w:t>[Your postal address]</w:t>
        <w:br/>
        <w:t>[Email] | [Phone]</w:t>
      </w:r>
    </w:p>
    <w:p>
      <w:pPr>
        <w:spacing w:after="240"/>
      </w:pPr>
      <w:r>
        <w:t>[Date]</w:t>
      </w:r>
    </w:p>
    <w:p>
      <w:pPr>
        <w:spacing w:after="240"/>
      </w:pPr>
      <w:r>
        <w:t>Editor-in-Chief</w:t>
        <w:br/>
        <w:t>Family Medicine and Community Health</w:t>
        <w:br/>
        <w:t>BMJ Publishing Group</w:t>
      </w:r>
    </w:p>
    <w:p>
      <w:pPr>
        <w:spacing w:after="240"/>
      </w:pPr>
      <w:r>
        <w:t>Dear Editor,</w:t>
      </w:r>
    </w:p>
    <w:p>
      <w:pPr>
        <w:spacing w:after="240"/>
      </w:pPr>
      <w:r>
        <w:t>We would like to submit our manuscript, "False-positive cascade from direct-to-consumer multi-cancer early detection blood tests: implications for primary and specialty care," for consideration as an original research article.</w:t>
      </w:r>
    </w:p>
    <w:p>
      <w:pPr>
        <w:spacing w:after="240"/>
      </w:pPr>
      <w:r>
        <w:t>The study presents a reproducible, data-driven scenario model of the workload generated by direct-to-consumer blood-based multi-cancer early detection (MCED) testing in an asymptomatic population. Using publicly available cancer incidence, national diagnostic capacity, health insurance outpatient data, and specialist-board counts, we quantify true-positive detections, false-positive follow-up visits, primary-care and specialist capacity utilisation, and the sensitivity of these outcomes to test specificity, follow-up behaviour, and user age distribution. Our findings highlight a potentially large false-positive cascade and the central role of primary care and family physicians in managing it.</w:t>
      </w:r>
    </w:p>
    <w:p>
      <w:pPr>
        <w:spacing w:after="240"/>
      </w:pPr>
      <w:r>
        <w:t>This work is original and has not been published elsewhere. All authors contributed to the study design, interpretation, and writing, and approved the final manuscript. No external funding was received, and the authors declare no competing interests. All data and code are publicly available and documented in the Data Availability statement.</w:t>
      </w:r>
    </w:p>
    <w:p>
      <w:pPr>
        <w:spacing w:after="240"/>
      </w:pPr>
      <w:r>
        <w:t>Family Medicine and Community Health is a suitable venue because the manuscript directly addresses the population-health and primary-care implications of a consumer-facing screening technology, with particular relevance to family physicians, community health systems, and health policy.</w:t>
      </w:r>
    </w:p>
    <w:p>
      <w:pPr>
        <w:spacing w:after="240"/>
      </w:pPr>
      <w:r>
        <w:t>We would be pleased to suggest reviewers upon request.</w:t>
      </w:r>
    </w:p>
    <w:p>
      <w:pPr>
        <w:spacing w:after="240"/>
      </w:pPr>
      <w:r>
        <w:t>Sincerely,</w:t>
      </w:r>
    </w:p>
    <w:p>
      <w:pPr>
        <w:spacing w:after="240"/>
      </w:pPr>
      <w:r>
        <w:t>[Your name]</w:t>
        <w:b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