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Editor-in-Chief</w:t>
      </w:r>
    </w:p>
    <w:p>
      <w:r>
        <w:t>Health Policy</w:t>
      </w:r>
    </w:p>
    <w:p>
      <w:r>
        <w:t>Elsevier</w:t>
      </w:r>
    </w:p>
    <w:p/>
    <w:p>
      <w:r>
        <w:t>Dear Editor,</w:t>
      </w:r>
    </w:p>
    <w:p>
      <w:r>
        <w:t>We are pleased to submit our manuscript, "False-positive cascade from direct-to-consumer multi-cancer early detection blood tests in Japan: a scenario modelling study of health-system burden", for consideration as a Full-length Article in Health Policy.</w:t>
      </w:r>
    </w:p>
    <w:p>
      <w:r>
        <w:t>Direct-to-consumer blood-based multi-cancer early detection (MCED) tests are now marketed directly to consumers in many high-income countries. Although advertised as a simple single-blood-draw cancer screen, their low positive predictive value in asymptomatic populations means that most positive results are false positives. Each positive test initiates a cascade of confirmatory imaging, endoscopy, and specialist visits. We used a deterministic expected-value model parameterised with 2023 Japanese national data to quantify the burden on primary care, diagnostic services, and cancer-relevant specialties across a range of follow-up rates and test specificities.</w:t>
      </w:r>
    </w:p>
    <w:p>
      <w:r>
        <w:t>In a 100,000-person cohort at 50% follow-up and 99% specificity, the model generated 383 true positives and 7995 false positives (positive predictive value 4.58%). The false-positive cascade produced 4189 primary care visits and 19873 total downstream visits; specialist capacity utilisation reached 163%, and the per-specialist cancer case load effectively rose by 481%. These results suggest that, without regulatory guardrails on performance claims and follow-up obligations, widespread DTC MCED screening could overwhelm primary and specialty care systems.</w:t>
      </w:r>
    </w:p>
    <w:p>
      <w:r>
        <w:t>The study is directly relevant to Health Policy's readership. Japan's large direct-to-consumer screening market and publicly available national data make it an informative case study, but the false-positive cascade is generalisable to other high-income countries outside the United States. The findings inform decisions about pre-market performance thresholds, transparent positive predictive value reporting, and the allocation of follow-up responsibilities between consumers, primary care, and specialty services.</w:t>
      </w:r>
    </w:p>
    <w:p>
      <w:r>
        <w:t>We confirm that this work is original, has not been published elsewhere, and is not under consideration elsewhere. All authors have approved the manuscript and agree with its submission. The authors declare no competing interests.</w:t>
      </w:r>
    </w:p>
    <w:p>
      <w:r>
        <w:t>Sincerely,</w:t>
      </w:r>
    </w:p>
    <w:p>
      <w:r>
        <w:t>[Corresponding author name]</w:t>
        <w:br/>
        <w:t>[Affiliation]</w:t>
        <w:b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