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w:t>
      </w:r>
    </w:p>
    <w:p>
      <w:r>
        <w:t>Journal of Medical Screening</w:t>
      </w:r>
    </w:p>
    <w:p/>
    <w:p>
      <w:r>
        <w:t>Dear Editor,</w:t>
      </w:r>
    </w:p>
    <w:p>
      <w:r>
        <w:t>We are pleased to submit our manuscript, "False-positive cascade from direct-to-consumer multi-cancer early detection blood tests in Japan: a scenario modelling study of health-system burden", for consideration as an Original Article in the Journal of Medical Screening.</w:t>
      </w:r>
    </w:p>
    <w:p>
      <w:r>
        <w:t>Direct-to-consumer blood-based multi-cancer early detection (MCED) tests are now marketed in many high-income countries as a simple single-blood-draw cancer screen. Their low positive predictive value in asymptomatic populations means that most positive results are false positives, each initiating a cascade of confirmatory imaging, endoscopy and specialist visits. We used a deterministic expected-value model parameterised with 2023 Japanese national data to quantify this burden on primary care, diagnostic services and cancer-relevant specialties across a range of follow-up rates, test specificities and purchaser age distributions.</w:t>
      </w:r>
    </w:p>
    <w:p>
      <w:r>
        <w:t>In a 100,000-person cohort at 50% follow-up and 99% specificity, the model generated 383 true positives and 7995 false positives (positive predictive value 4.58%). The false-positive cascade produced 4189 primary care visits and 19873 total downstream visits; specialist capacity utilisation reached 163%, and the per-specialist cancer caseload effectively rose by 481%.</w:t>
      </w:r>
    </w:p>
    <w:p>
      <w:r>
        <w:t>The manuscript addresses the core concerns of the Journal of Medical Screening: the predictive value of a screening test in an asymptomatic population, the downstream harms and resource consequences of false-positive results, and the policy conditions under which a new screening technology should be offered. All inputs are public national data and the full analysis is reproducible from open code (https://github.com/bougtoir/cancer-screening-burden-data-driven).</w:t>
      </w:r>
    </w:p>
    <w:p>
      <w:r>
        <w:t>This work is original, has not been published previously and is not under consideration elsewhere. All authors have approved the manuscript and agree with its submission. The authors declare no conflicting interests and received no funding. The study used only publicly available aggregate data, so ethics approval was not required. An AI-assisted research assistant was used for drafting and code generation, as disclosed in the Acknowledgements.</w:t>
      </w:r>
    </w:p>
    <w:p>
      <w:r>
        <w:t>Yours sincerely,</w:t>
      </w:r>
    </w:p>
    <w:p>
      <w:r>
        <w:t>[Corresponding author name]</w:t>
        <w:br/>
        <w:t>[Affiliation]</w:t>
        <w:br/>
        <w:t>[Postal address]</w:t>
        <w:b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