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Highlights</w:t>
      </w:r>
    </w:p>
    <w:p>
      <w:pPr>
        <w:pStyle w:val="ListBullet"/>
      </w:pPr>
      <w:r>
        <w:t>DTC blood cancer tests trigger a large false-positive cascade in Japan.</w:t>
      </w:r>
    </w:p>
    <w:p>
      <w:pPr>
        <w:pStyle w:val="ListBullet"/>
      </w:pPr>
      <w:r>
        <w:t>At 50% follow-up, 21 false-positive workups occur per true cancer detected.</w:t>
      </w:r>
    </w:p>
    <w:p>
      <w:pPr>
        <w:pStyle w:val="ListBullet"/>
      </w:pPr>
      <w:r>
        <w:t>Specialist capacity reaches 163% and per-specialist caseload rises 481%.</w:t>
      </w:r>
    </w:p>
    <w:p>
      <w:pPr>
        <w:pStyle w:val="ListBullet"/>
      </w:pPr>
      <w:r>
        <w:t>Regulators should require pre-market thresholds and age-specific PPV reporting.</w:t>
      </w:r>
    </w:p>
    <w:p/>
    <w:p>
      <w:r>
        <w:rPr>
          <w:i/>
        </w:rPr>
        <w:t>Character counts (including spaces):</w:t>
      </w:r>
    </w:p>
    <w:p>
      <w:r>
        <w:t>Bullet 1: 71 / 85 characters</w:t>
      </w:r>
    </w:p>
    <w:p>
      <w:r>
        <w:t>Bullet 2: 75 / 85 characters</w:t>
      </w:r>
    </w:p>
    <w:p>
      <w:r>
        <w:t>Bullet 3: 72 / 85 characters</w:t>
      </w:r>
    </w:p>
    <w:p>
      <w:r>
        <w:t>Bullet 4: 79 / 85 characters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Malgun Gothic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Malgun Gothic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