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Data sources and scenario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 / assumption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Screened population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cohort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sensitivity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Kahwati LC, Avenarius M, Brouwer L, et al. Blood-Based Tests for Multiple Cancer Screening: A Systematic Review. AHRQ Publication No. 25-EHC033. Rockville (MD): Agency for Healthcare Research and Quality; 2025. https://doi.org/10.23970/AHRQEPCSRMULTIPLE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specificity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0.990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Kahwati LC, Avenarius M, Brouwer L, et al. Blood-Based Tests for Multiple Cancer Screening: A Systematic Review. AHRQ Publication No. 25-EHC033. Rockville (MD): Agency for Healthcare Research and Quality; 2025. https://doi.org/10.23970/AHRQEPCSRMULTIPLE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5676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MRI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Endoscopy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Ministry of Health, Labour and Welfare, 2023 Medical Facility Survey (Static/Dynamic), 05sisetu05.xlsx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Specialist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Derived from NDB Open Data first/revisit outpatient patient counts (88,408,837 + 85,182,008) and 79,117 cancer-relevant JMSB specialists; 20% share assumed available for new cancer workups.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care capacity per 100k per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11983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Derived from NDB Open Data first/revisit outpatient patient counts (88,408,837 + 85,182,008) and 131,981 primary-care-relevant JMSB specialists (internal medicine and general practice); 20% share assumed available for new cancer workups.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Gastric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Colorectal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123.8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Lung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Breast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Prostate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Liver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Pancreatic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Ovarian prevalence (per 100k)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National Cancer Center of Japan, Cancer Statistics in Japan 2016-2023</w:t>
            </w:r>
          </w:p>
        </w:tc>
      </w:tr>
    </w:tbl>
    <w:p/>
    <w:p>
      <w:pPr>
        <w:pStyle w:val="Heading2"/>
      </w:pPr>
      <w:r>
        <w:t>Table 2. Baseline cases per specialist and incremental false-positive burden at 50%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Relevant specialty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Baseline cases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False-positive specialist visits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Cases per specialist with FP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Increase (%)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65.51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77.4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552.7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Gastrointestinal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63.4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174.89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238.3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275.7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Respiratory Medicine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43.9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245.38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289.2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559.6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Breast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799.33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1202.8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198.1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221.40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306.9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258.9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Hepatology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194.25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204.4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1918.5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78.65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2095.0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Obstetrics and Gynaecology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84.85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3885.6</w:t>
            </w:r>
          </w:p>
        </w:tc>
      </w:tr>
    </w:tbl>
    <w:p/>
    <w:p>
      <w:pPr>
        <w:pStyle w:val="Heading2"/>
      </w:pPr>
      <w:r>
        <w:t>Table S3. Per-cancer outcomes at 50%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Prevalence per 100k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Max resource utilisation (%)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84.3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529.1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123.9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86.7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998.8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7.99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542.7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2713.5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69.8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6.53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534.4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2830.1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23.8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58.2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528.7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2161.1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57.5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5.44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528.3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2182.8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1.81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54.4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509.1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2211.9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2.61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513.2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2657.4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999.9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503.6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2503.5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21.2</w:t>
            </w:r>
          </w:p>
        </w:tc>
      </w:tr>
    </w:tbl>
    <w:p/>
    <w:p>
      <w:pPr>
        <w:pStyle w:val="Heading2"/>
      </w:pPr>
      <w:r>
        <w:t>Table S4. Aggregate outcomes by follow-up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Follow-up rate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True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False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positives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PPV (%)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FP/TP ratio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Primary care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Total visits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Max capacity utilisation (%)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3974.7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32.6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1675.6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7949.4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65.3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2513.4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11924.0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97.9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3351.2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15898.7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130.6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4189.0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19873.4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163.2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5026.8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23848.1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195.9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5864.6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27822.8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228.5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6702.4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31797.5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261.2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7540.2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35772.1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293.8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383.5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7994.5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8378.0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39746.8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326.4</w:t>
            </w:r>
          </w:p>
        </w:tc>
      </w:tr>
    </w:tbl>
    <w:p/>
    <w:p>
      <w:pPr>
        <w:pStyle w:val="Heading2"/>
      </w:pPr>
      <w:r>
        <w:t>Supplementary Table S1. Aggregate PPV under alternative age-distribution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Age-distribution scenario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Aggregate PPV (%)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FP/TP ratio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bimodal (23andMe-like)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1.94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screening-age purchasers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23.7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DTC younger purchasers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176.3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Adults 20+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2023 total population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20.8</w:t>
            </w:r>
          </w:p>
        </w:tc>
      </w:tr>
    </w:tbl>
    <w:p/>
    <w:p>
      <w:pPr>
        <w:pStyle w:val="Heading2"/>
      </w:pPr>
      <w:r>
        <w:t>Supplementary Table S2. One-way sensitivity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Aggregate PPV (%)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Max capacity utilisation (%)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 visits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761.4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93922.9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312.8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38385.8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8.75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88.4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10617.2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specificity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3212.3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3974.7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97.9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11924.0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228.5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27822.8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follow_up_rate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293.8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35772.1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652.9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326.4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108.8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available_share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159.3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19484.5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161.3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19679.0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19873.4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165.2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20067.8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167.1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20262.3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