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Data sources and scenario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 / assumption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Screened population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cohort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sensitivity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Kahwati LC, Avenarius M, Brouwer L, et al. Blood-Based Tests for Multiple Cancer Screening: A Systematic Review. AHRQ Publication No. 25-EHC033. Rockville (MD): Agency for Healthcare Research and Quality; 2025. https://doi.org/10.23970/AHRQEPCSRMULTIPLE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specificity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Kahwati LC, Avenarius M, Brouwer L, et al. Blood-Based Tests for Multiple Cancer Screening: A Systematic Review. AHRQ Publication No. 25-EHC033. Rockville (MD): Agency for Healthcare Research and Quality; 2025. https://doi.org/10.23970/AHRQEPCSRMULTIPLE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MRI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Endoscopy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Specialist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Derived from NDB Open Data first/revisit outpatient patient counts (88,408,837 + 85,182,008) and 79,117 cancer-relevant JMSB specialists; 20% share assumed available for new cancer workups.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care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11983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Derived from NDB Open Data first/revisit outpatient patient counts (88,408,837 + 85,182,008) and 131,981 primary-care-relevant JMSB specialists (internal medicine and general practice); 20% share assumed available for new cancer workups.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Gastric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Colorectal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123.8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Lung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Breast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Prostate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Liver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Pancreatic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Ovarian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</w:tbl>
    <w:p/>
    <w:p>
      <w:pPr>
        <w:pStyle w:val="Heading2"/>
      </w:pPr>
      <w:r>
        <w:t>Table 2. Baseline cases per specialist and incremental false-positive burden at 50%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Relevant specialty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Baseline cases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False-positive specialist visits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Cases per specialist with FP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Increase (%)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65.51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77.4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552.7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Gastrointestinal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63.4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174.89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238.3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275.7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Respiratory Medicine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43.9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245.38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289.2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559.6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Breast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799.33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1202.8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198.1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221.40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306.9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258.9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Hepatology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194.25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204.4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1918.5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78.65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2095.0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Obstetrics and Gynaecology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84.85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3885.6</w:t>
            </w:r>
          </w:p>
        </w:tc>
      </w:tr>
    </w:tbl>
    <w:p/>
    <w:p>
      <w:pPr>
        <w:pStyle w:val="Heading2"/>
      </w:pPr>
      <w:r>
        <w:t>Supplementary Table S1. Per-cancer outcomes at 50% follow-up (per 100,000 screened)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Prevalence per 100k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Max resource utilisation (%)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529.1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123.9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86.7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998.8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7.99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542.7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2713.5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69.8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6.53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534.4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2830.1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23.8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58.2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528.7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2161.1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57.5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5.44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528.3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2182.8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1.81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54.4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509.1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2211.9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2.61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513.2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2657.4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503.6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2503.5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21.2</w:t>
            </w:r>
          </w:p>
        </w:tc>
      </w:tr>
    </w:tbl>
    <w:p/>
    <w:p>
      <w:pPr>
        <w:pStyle w:val="Heading2"/>
      </w:pPr>
      <w:r>
        <w:t>Supplementary Table S2. Aggregate positive predictive value under alternative age-distribution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Age-distribution scenario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Aggregate PPV (%)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FP/TP ratio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bimodal (23andMe-like)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1.94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screening-age purchasers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23.7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younger purchasers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176.3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Adults 20+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2023 total population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20.8</w:t>
            </w:r>
          </w:p>
        </w:tc>
      </w:tr>
    </w:tbl>
    <w:p/>
    <w:p>
      <w:pPr>
        <w:pStyle w:val="Heading2"/>
      </w:pPr>
      <w:r>
        <w:t>Supplementary Table S3. One-way sensitivity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Aggregate PPV (%)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Max capacity utilisation (%)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 visits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761.4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93922.9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312.8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38385.8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8.75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88.4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10617.2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3212.3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3974.7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97.9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11924.0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228.5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27822.8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293.8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35772.1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652.9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326.4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108.8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159.3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19484.5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161.3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19679.0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165.2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20067.8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167.1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20262.3</w:t>
            </w:r>
          </w:p>
        </w:tc>
      </w:tr>
    </w:tbl>
    <w:p/>
    <w:p>
      <w:pPr>
        <w:pStyle w:val="Heading2"/>
      </w:pPr>
      <w:r>
        <w:t>Supplementary Table S4. Aggregate outcomes by follow-up rate (base-case specificity)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Follow-up rate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Max capacity utilisation (%)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3974.7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32.6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1675.6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7949.4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65.3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11924.0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97.9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3351.2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15898.7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130.6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4189.0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19873.4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163.2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5026.8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23848.1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195.9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5864.6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27822.8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228.5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6702.4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31797.5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261.2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7540.2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35772.1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293.8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39746.8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326.4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