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Reporting checklist with page numbers for Family Medicine and Community Health submission</w:t>
      </w:r>
    </w:p>
    <w:p>
      <w:r>
        <w:t>This checklist maps the manuscript to the STROBE, CRISP, and SAMPL guidelines and indicates the manuscript page(s) where each item is addressed. Page numbers were determined from a PDF render of the final manuscript.</w:t>
      </w:r>
    </w:p>
    <w:p>
      <w:pPr>
        <w:pStyle w:val="Heading2"/>
      </w:pPr>
      <w:r>
        <w:t>STROBE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Page(s)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Manuscript location / notes</w:t>
            </w:r>
          </w:p>
        </w:tc>
      </w:tr>
      <w:tr>
        <w:tc>
          <w:tcPr>
            <w:tcW w:type="dxa" w:w="2160"/>
          </w:tcPr>
          <w:p>
            <w:r>
              <w:t>1a. Study design indicated in title or abstract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Title implies implications; Abstract states "deterministic expected-value model".</w:t>
            </w:r>
          </w:p>
        </w:tc>
      </w:tr>
      <w:tr>
        <w:tc>
          <w:tcPr>
            <w:tcW w:type="dxa" w:w="2160"/>
          </w:tcPr>
          <w:p>
            <w:r>
              <w:t>1b. Informative and balanced abstract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Structured abstract (Background, Methods, Results, Conclusions).</w:t>
            </w:r>
          </w:p>
        </w:tc>
      </w:tr>
      <w:tr>
        <w:tc>
          <w:tcPr>
            <w:tcW w:type="dxa" w:w="2160"/>
          </w:tcPr>
          <w:p>
            <w:r>
              <w:t>2. Scientific background and rationale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Introduction: DTC MCED testing, false-positive cascade, capacity constraints.</w:t>
            </w:r>
          </w:p>
        </w:tc>
      </w:tr>
      <w:tr>
        <w:tc>
          <w:tcPr>
            <w:tcW w:type="dxa" w:w="2160"/>
          </w:tcPr>
          <w:p>
            <w:r>
              <w:t>3. Specific objectives / hypotheses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Introduction: quantify burden as a function of follow-up behaviour, specificity, and age structure.</w:t>
            </w:r>
          </w:p>
        </w:tc>
      </w:tr>
      <w:tr>
        <w:tc>
          <w:tcPr>
            <w:tcW w:type="dxa" w:w="2160"/>
          </w:tcPr>
          <w:p>
            <w:r>
              <w:t>4. Key elements of study design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Methods/Model: deterministic expected-value cohort model.</w:t>
            </w:r>
          </w:p>
        </w:tc>
      </w:tr>
      <w:tr>
        <w:tc>
          <w:tcPr>
            <w:tcW w:type="dxa" w:w="2160"/>
          </w:tcPr>
          <w:p>
            <w:r>
              <w:t>5. Setting, locations, relevant dates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2-4</w:t>
            </w:r>
          </w:p>
        </w:tc>
        <w:tc>
          <w:tcPr>
            <w:tcW w:type="dxa" w:w="2160"/>
          </w:tcPr>
          <w:p>
            <w:r>
              <w:t>Data sources: Japan 2023 incidence/population; MHLW 2023 facility survey; NDB April 2024-March 2025.</w:t>
            </w:r>
          </w:p>
        </w:tc>
      </w:tr>
      <w:tr>
        <w:tc>
          <w:tcPr>
            <w:tcW w:type="dxa" w:w="2160"/>
          </w:tcPr>
          <w:p>
            <w:r>
              <w:t>6a. Participants: eligibility, selection, follow-up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Simulation; hypothetical 100,000-person cohort; no human participants.</w:t>
            </w:r>
          </w:p>
        </w:tc>
      </w:tr>
      <w:tr>
        <w:tc>
          <w:tcPr>
            <w:tcW w:type="dxa" w:w="2160"/>
          </w:tcPr>
          <w:p>
            <w:r>
              <w:t>6b. Matching criteria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matching.</w:t>
            </w:r>
          </w:p>
        </w:tc>
      </w:tr>
      <w:tr>
        <w:tc>
          <w:tcPr>
            <w:tcW w:type="dxa" w:w="2160"/>
          </w:tcPr>
          <w:p>
            <w:r>
              <w:t>7. Variables: outcomes, exposures, confounders, effect modifiers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Table 1 lists parameters; outcomes include true/false positives, PPV, FP/TP, visits, capacity utilisation.</w:t>
            </w:r>
          </w:p>
        </w:tc>
      </w:tr>
      <w:tr>
        <w:tc>
          <w:tcPr>
            <w:tcW w:type="dxa" w:w="2160"/>
          </w:tcPr>
          <w:p>
            <w:r>
              <w:t>8. Data sources and measurement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2-4</w:t>
            </w:r>
          </w:p>
        </w:tc>
        <w:tc>
          <w:tcPr>
            <w:tcW w:type="dxa" w:w="2160"/>
          </w:tcPr>
          <w:p>
            <w:r>
              <w:t>Data sources section and Table 1 cite public sources.</w:t>
            </w:r>
          </w:p>
        </w:tc>
      </w:tr>
      <w:tr>
        <w:tc>
          <w:tcPr>
            <w:tcW w:type="dxa" w:w="2160"/>
          </w:tcPr>
          <w:p>
            <w:r>
              <w:t>9. Bias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Limitations discusses scenario assumptions and conservative approximations.</w:t>
            </w:r>
          </w:p>
        </w:tc>
      </w:tr>
      <w:tr>
        <w:tc>
          <w:tcPr>
            <w:tcW w:type="dxa" w:w="2160"/>
          </w:tcPr>
          <w:p>
            <w:r>
              <w:t>10. Study size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Model cohort = 100,000; population denominator = 124,351,000.</w:t>
            </w:r>
          </w:p>
        </w:tc>
      </w:tr>
      <w:tr>
        <w:tc>
          <w:tcPr>
            <w:tcW w:type="dxa" w:w="2160"/>
          </w:tcPr>
          <w:p>
            <w:r>
              <w:t>11. Quantitative variables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Model equations and age/follow-up/specificity ranges described.</w:t>
            </w:r>
          </w:p>
        </w:tc>
      </w:tr>
      <w:tr>
        <w:tc>
          <w:tcPr>
            <w:tcW w:type="dxa" w:w="2160"/>
          </w:tcPr>
          <w:p>
            <w:r>
              <w:t>12a. Statistical methods: primary objectives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Expected-value arithmetic described in Methods/Model.</w:t>
            </w:r>
          </w:p>
        </w:tc>
      </w:tr>
      <w:tr>
        <w:tc>
          <w:tcPr>
            <w:tcW w:type="dxa" w:w="2160"/>
          </w:tcPr>
          <w:p>
            <w:r>
              <w:t>12b. Subgroups and interactions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3,8</w:t>
            </w:r>
          </w:p>
        </w:tc>
        <w:tc>
          <w:tcPr>
            <w:tcW w:type="dxa" w:w="2160"/>
          </w:tcPr>
          <w:p>
            <w:r>
              <w:t>Age-specific PPV, cancer-specific results, specificity and age scenarios.</w:t>
            </w:r>
          </w:p>
        </w:tc>
      </w:tr>
      <w:tr>
        <w:tc>
          <w:tcPr>
            <w:tcW w:type="dxa" w:w="2160"/>
          </w:tcPr>
          <w:p>
            <w:r>
              <w:t>12c. Missing data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missing data in aggregate public sources.</w:t>
            </w:r>
          </w:p>
        </w:tc>
      </w:tr>
      <w:tr>
        <w:tc>
          <w:tcPr>
            <w:tcW w:type="dxa" w:w="2160"/>
          </w:tcPr>
          <w:p>
            <w:r>
              <w:t>12d. Loss to follow-up / matching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Simulation; no participant follow-up.</w:t>
            </w:r>
          </w:p>
        </w:tc>
      </w:tr>
      <w:tr>
        <w:tc>
          <w:tcPr>
            <w:tcW w:type="dxa" w:w="2160"/>
          </w:tcPr>
          <w:p>
            <w:r>
              <w:t>12e. Sensitivity analyses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3,8,10-11</w:t>
            </w:r>
          </w:p>
        </w:tc>
        <w:tc>
          <w:tcPr>
            <w:tcW w:type="dxa" w:w="2160"/>
          </w:tcPr>
          <w:p>
            <w:r>
              <w:t>Specificity sweep, follow-up sweep, capacity-share scenarios, age-distribution scenarios.</w:t>
            </w:r>
          </w:p>
        </w:tc>
      </w:tr>
      <w:tr>
        <w:tc>
          <w:tcPr>
            <w:tcW w:type="dxa" w:w="2160"/>
          </w:tcPr>
          <w:p>
            <w:r>
              <w:t>13a. Participants at each stage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Simulation; no participant flow.</w:t>
            </w:r>
          </w:p>
        </w:tc>
      </w:tr>
      <w:tr>
        <w:tc>
          <w:tcPr>
            <w:tcW w:type="dxa" w:w="2160"/>
          </w:tcPr>
          <w:p>
            <w:r>
              <w:t>13b. Reasons for non-participation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Simulation.</w:t>
            </w:r>
          </w:p>
        </w:tc>
      </w:tr>
      <w:tr>
        <w:tc>
          <w:tcPr>
            <w:tcW w:type="dxa" w:w="2160"/>
          </w:tcPr>
          <w:p>
            <w:r>
              <w:t>13c. Flow diagram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Simulation.</w:t>
            </w:r>
          </w:p>
        </w:tc>
      </w:tr>
      <w:tr>
        <w:tc>
          <w:tcPr>
            <w:tcW w:type="dxa" w:w="2160"/>
          </w:tcPr>
          <w:p>
            <w:r>
              <w:t>14a. Descriptive data: participant characteristics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4-6</w:t>
            </w:r>
          </w:p>
        </w:tc>
        <w:tc>
          <w:tcPr>
            <w:tcW w:type="dxa" w:w="2160"/>
          </w:tcPr>
          <w:p>
            <w:r>
              <w:t>Table 1 and Table 2 present cancer-specific and aggregate parameter values.</w:t>
            </w:r>
          </w:p>
        </w:tc>
      </w:tr>
      <w:tr>
        <w:tc>
          <w:tcPr>
            <w:tcW w:type="dxa" w:w="2160"/>
          </w:tcPr>
          <w:p>
            <w:r>
              <w:t>14b. Missing data counts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missing data.</w:t>
            </w:r>
          </w:p>
        </w:tc>
      </w:tr>
      <w:tr>
        <w:tc>
          <w:tcPr>
            <w:tcW w:type="dxa" w:w="2160"/>
          </w:tcPr>
          <w:p>
            <w:r>
              <w:t>14c. Follow-up time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Simulation.</w:t>
            </w:r>
          </w:p>
        </w:tc>
      </w:tr>
      <w:tr>
        <w:tc>
          <w:tcPr>
            <w:tcW w:type="dxa" w:w="2160"/>
          </w:tcPr>
          <w:p>
            <w:r>
              <w:t>15. Outcome data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Tables 2-4 and Figs 1-4 report outcomes.</w:t>
            </w:r>
          </w:p>
        </w:tc>
      </w:tr>
      <w:tr>
        <w:tc>
          <w:tcPr>
            <w:tcW w:type="dxa" w:w="2160"/>
          </w:tcPr>
          <w:p>
            <w:r>
              <w:t>16a. Main results: estimates and precision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Counts and percentages; deterministic model; scenario ranges characterise uncertainty.</w:t>
            </w:r>
          </w:p>
        </w:tc>
      </w:tr>
      <w:tr>
        <w:tc>
          <w:tcPr>
            <w:tcW w:type="dxa" w:w="2160"/>
          </w:tcPr>
          <w:p>
            <w:r>
              <w:t>16b. Category boundaries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3,8</w:t>
            </w:r>
          </w:p>
        </w:tc>
        <w:tc>
          <w:tcPr>
            <w:tcW w:type="dxa" w:w="2160"/>
          </w:tcPr>
          <w:p>
            <w:r>
              <w:t>Age groups and cancer types defined; follow-up/specificity ranges stated.</w:t>
            </w:r>
          </w:p>
        </w:tc>
      </w:tr>
      <w:tr>
        <w:tc>
          <w:tcPr>
            <w:tcW w:type="dxa" w:w="2160"/>
          </w:tcPr>
          <w:p>
            <w:r>
              <w:t>16c. Absolute risk for a meaningful period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Model reports absolute counts per 100,000.</w:t>
            </w:r>
          </w:p>
        </w:tc>
      </w:tr>
      <w:tr>
        <w:tc>
          <w:tcPr>
            <w:tcW w:type="dxa" w:w="2160"/>
          </w:tcPr>
          <w:p>
            <w:r>
              <w:t>17. Other analyses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10-11</w:t>
            </w:r>
          </w:p>
        </w:tc>
        <w:tc>
          <w:tcPr>
            <w:tcW w:type="dxa" w:w="2160"/>
          </w:tcPr>
          <w:p>
            <w:r>
              <w:t>Age-scenario analyses and tornado diagrams (Figs S1-S3, Supplementary Tables S1-S2).</w:t>
            </w:r>
          </w:p>
        </w:tc>
      </w:tr>
      <w:tr>
        <w:tc>
          <w:tcPr>
            <w:tcW w:type="dxa" w:w="2160"/>
          </w:tcPr>
          <w:p>
            <w:r>
              <w:t>18. Key results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Discussion first paragraph summarises main findings.</w:t>
            </w:r>
          </w:p>
        </w:tc>
      </w:tr>
      <w:tr>
        <w:tc>
          <w:tcPr>
            <w:tcW w:type="dxa" w:w="2160"/>
          </w:tcPr>
          <w:p>
            <w:r>
              <w:t>19. Limitations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Limitations section addresses model assumptions.</w:t>
            </w:r>
          </w:p>
        </w:tc>
      </w:tr>
      <w:tr>
        <w:tc>
          <w:tcPr>
            <w:tcW w:type="dxa" w:w="2160"/>
          </w:tcPr>
          <w:p>
            <w:r>
              <w:t>20. Interpretation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Discussion interprets results cautiously.</w:t>
            </w:r>
          </w:p>
        </w:tc>
      </w:tr>
      <w:tr>
        <w:tc>
          <w:tcPr>
            <w:tcW w:type="dxa" w:w="2160"/>
          </w:tcPr>
          <w:p>
            <w:r>
              <w:t>21. Generalisability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Discussion notes Japan as case study with high-income generalisability.</w:t>
            </w:r>
          </w:p>
        </w:tc>
      </w:tr>
      <w:tr>
        <w:tc>
          <w:tcPr>
            <w:tcW w:type="dxa" w:w="2160"/>
          </w:tcPr>
          <w:p>
            <w:r>
              <w:t>22. Funding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Funding statement: no external funding.</w:t>
            </w:r>
          </w:p>
        </w:tc>
      </w:tr>
    </w:tbl>
    <w:p>
      <w:pPr>
        <w:pStyle w:val="Heading2"/>
      </w:pPr>
      <w:r>
        <w:t>CRISP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Page(s)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Manuscript location / notes</w:t>
            </w:r>
          </w:p>
        </w:tc>
      </w:tr>
      <w:tr>
        <w:tc>
          <w:tcPr>
            <w:tcW w:type="dxa" w:w="2160"/>
          </w:tcPr>
          <w:p>
            <w:r>
              <w:t>1. Include "primary care" / discipline terms in title, abstract, keywords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Title includes "primary and specialty care"; keywords include "primary care" and "shared decision-making".</w:t>
            </w:r>
          </w:p>
        </w:tc>
      </w:tr>
      <w:tr>
        <w:tc>
          <w:tcPr>
            <w:tcW w:type="dxa" w:w="2160"/>
          </w:tcPr>
          <w:p>
            <w:r>
              <w:t>2. Rationale and importance for primary care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2,10-12</w:t>
            </w:r>
          </w:p>
        </w:tc>
        <w:tc>
          <w:tcPr>
            <w:tcW w:type="dxa" w:w="2160"/>
          </w:tcPr>
          <w:p>
            <w:r>
              <w:t>Introduction and Discussion describe primary-care and family-physician burden.</w:t>
            </w:r>
          </w:p>
        </w:tc>
      </w:tr>
      <w:tr>
        <w:tc>
          <w:tcPr>
            <w:tcW w:type="dxa" w:w="2160"/>
          </w:tcPr>
          <w:p>
            <w:r>
              <w:t>3. Primary care experience / collaboration of research team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Not explicitly described; consider adding author affiliations / primary care expertise if applicable.</w:t>
            </w:r>
          </w:p>
        </w:tc>
      </w:tr>
      <w:tr>
        <w:tc>
          <w:tcPr>
            <w:tcW w:type="dxa" w:w="2160"/>
          </w:tcPr>
          <w:p>
            <w:r>
              <w:t>4a. Person-focused language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1-6</w:t>
            </w:r>
          </w:p>
        </w:tc>
        <w:tc>
          <w:tcPr>
            <w:tcW w:type="dxa" w:w="2160"/>
          </w:tcPr>
          <w:p>
            <w:r>
              <w:t>Uses "persons", "patients", "users" appropriately.</w:t>
            </w:r>
          </w:p>
        </w:tc>
      </w:tr>
      <w:tr>
        <w:tc>
          <w:tcPr>
            <w:tcW w:type="dxa" w:w="2160"/>
          </w:tcPr>
          <w:p>
            <w:r>
              <w:t>4b. Source and rationale for personal characteristics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Data sources and Table 1 state origin of age/sex incidence and population data.</w:t>
            </w:r>
          </w:p>
        </w:tc>
      </w:tr>
      <w:tr>
        <w:tc>
          <w:tcPr>
            <w:tcW w:type="dxa" w:w="2160"/>
          </w:tcPr>
          <w:p>
            <w:r>
              <w:t>4c. Population detail for comparison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4-6</w:t>
            </w:r>
          </w:p>
        </w:tc>
        <w:tc>
          <w:tcPr>
            <w:tcW w:type="dxa" w:w="2160"/>
          </w:tcPr>
          <w:p>
            <w:r>
              <w:t>2023 Japanese population by age and sex; cancer incidence rates.</w:t>
            </w:r>
          </w:p>
        </w:tc>
      </w:tr>
      <w:tr>
        <w:tc>
          <w:tcPr>
            <w:tcW w:type="dxa" w:w="2160"/>
          </w:tcPr>
          <w:p>
            <w:r>
              <w:t>4d. Pre-existing therapeutic relationship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Simulation; not applicable.</w:t>
            </w:r>
          </w:p>
        </w:tc>
      </w:tr>
      <w:tr>
        <w:tc>
          <w:tcPr>
            <w:tcW w:type="dxa" w:w="2160"/>
          </w:tcPr>
          <w:p>
            <w:r>
              <w:t>5a. Acute or chronic condition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Study concerns screen-detected cancer.</w:t>
            </w:r>
          </w:p>
        </w:tc>
      </w:tr>
      <w:tr>
        <w:tc>
          <w:tcPr>
            <w:tcW w:type="dxa" w:w="2160"/>
          </w:tcPr>
          <w:p>
            <w:r>
              <w:t>5b. Multimorbidity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Not modelled.</w:t>
            </w:r>
          </w:p>
        </w:tc>
      </w:tr>
      <w:tr>
        <w:tc>
          <w:tcPr>
            <w:tcW w:type="dxa" w:w="2160"/>
          </w:tcPr>
          <w:p>
            <w:r>
              <w:t>6. Clinical encounter: isolated or longitudinal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Model describes a single DTC test followed by primary care and specialist visits.</w:t>
            </w:r>
          </w:p>
        </w:tc>
      </w:tr>
      <w:tr>
        <w:tc>
          <w:tcPr>
            <w:tcW w:type="dxa" w:w="2160"/>
          </w:tcPr>
          <w:p>
            <w:r>
              <w:t>7a. Care team members and roles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Primary care, imaging, endoscopy, and specialty referral pathway described.</w:t>
            </w:r>
          </w:p>
        </w:tc>
      </w:tr>
      <w:tr>
        <w:tc>
          <w:tcPr>
            <w:tcW w:type="dxa" w:w="2160"/>
          </w:tcPr>
          <w:p>
            <w:r>
              <w:t>7b. Profession, specialty, qualifications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Specialties mapped from JMSB classifications; individual clinician qualifications not reported.</w:t>
            </w:r>
          </w:p>
        </w:tc>
      </w:tr>
      <w:tr>
        <w:tc>
          <w:tcPr>
            <w:tcW w:type="dxa" w:w="2160"/>
          </w:tcPr>
          <w:p>
            <w:r>
              <w:t>8a. Interventions and implementation detail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3-5</w:t>
            </w:r>
          </w:p>
        </w:tc>
        <w:tc>
          <w:tcPr>
            <w:tcW w:type="dxa" w:w="2160"/>
          </w:tcPr>
          <w:p>
            <w:r>
              <w:t>Test performance, pathway probabilities, and additional visits described.</w:t>
            </w:r>
          </w:p>
        </w:tc>
      </w:tr>
      <w:tr>
        <w:tc>
          <w:tcPr>
            <w:tcW w:type="dxa" w:w="2160"/>
          </w:tcPr>
          <w:p>
            <w:r>
              <w:t>8b. Clustering / grouping and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clustering; national-level model.</w:t>
            </w:r>
          </w:p>
        </w:tc>
      </w:tr>
      <w:tr>
        <w:tc>
          <w:tcPr>
            <w:tcW w:type="dxa" w:w="2160"/>
          </w:tcPr>
          <w:p>
            <w:r>
              <w:t>8c. Health care system context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2-4,10-12</w:t>
            </w:r>
          </w:p>
        </w:tc>
        <w:tc>
          <w:tcPr>
            <w:tcW w:type="dxa" w:w="2160"/>
          </w:tcPr>
          <w:p>
            <w:r>
              <w:t>Methods describe Japanese data sources and national capacity; Discussion notes generalisability.</w:t>
            </w:r>
          </w:p>
        </w:tc>
      </w:tr>
      <w:tr>
        <w:tc>
          <w:tcPr>
            <w:tcW w:type="dxa" w:w="2160"/>
          </w:tcPr>
          <w:p>
            <w:r>
              <w:t>9a. Validated measurement tools in primary care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Outcome metrics (PPV, FP/TP, capacity utilisation) are standard measures.</w:t>
            </w:r>
          </w:p>
        </w:tc>
      </w:tr>
      <w:tr>
        <w:tc>
          <w:tcPr>
            <w:tcW w:type="dxa" w:w="2160"/>
          </w:tcPr>
          <w:p>
            <w:r>
              <w:t>9b. Meaningfulness to primary care patients and care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4-12</w:t>
            </w:r>
          </w:p>
        </w:tc>
        <w:tc>
          <w:tcPr>
            <w:tcW w:type="dxa" w:w="2160"/>
          </w:tcPr>
          <w:p>
            <w:r>
              <w:t>Results reported as visits per 100,000 and cases per specialist; Discussion links to shared decision-making.</w:t>
            </w:r>
          </w:p>
        </w:tc>
      </w:tr>
      <w:tr>
        <w:tc>
          <w:tcPr>
            <w:tcW w:type="dxa" w:w="2160"/>
          </w:tcPr>
          <w:p>
            <w:r>
              <w:t>9c. Clinically interpretable findings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4-12</w:t>
            </w:r>
          </w:p>
        </w:tc>
        <w:tc>
          <w:tcPr>
            <w:tcW w:type="dxa" w:w="2160"/>
          </w:tcPr>
          <w:p>
            <w:r>
              <w:t>Tables and figures present absolute counts and percentages.</w:t>
            </w:r>
          </w:p>
        </w:tc>
      </w:tr>
      <w:tr>
        <w:tc>
          <w:tcPr>
            <w:tcW w:type="dxa" w:w="2160"/>
          </w:tcPr>
          <w:p>
            <w:r>
              <w:t>10a. Implications for primary care research, care, education, policy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Discussion sections on primary care/shared decision-making and regulatory guardrails.</w:t>
            </w:r>
          </w:p>
        </w:tc>
      </w:tr>
      <w:tr>
        <w:tc>
          <w:tcPr>
            <w:tcW w:type="dxa" w:w="2160"/>
          </w:tcPr>
          <w:p>
            <w:r>
              <w:t>10b. Implications for primary care demands and priorities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Discussion quantifies specialist and primary-care visit burden and capacity ceiling exceedance.</w:t>
            </w:r>
          </w:p>
        </w:tc>
      </w:tr>
      <w:tr>
        <w:tc>
          <w:tcPr>
            <w:tcW w:type="dxa" w:w="2160"/>
          </w:tcPr>
          <w:p>
            <w:r>
              <w:t>10c. Applicability in diverse primary care settings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Limitations and Discussion address national averages, local capacity, and high-income generalisability.</w:t>
            </w:r>
          </w:p>
        </w:tc>
      </w:tr>
    </w:tbl>
    <w:p>
      <w:pPr>
        <w:pStyle w:val="Heading2"/>
      </w:pPr>
      <w:r>
        <w:t>SAMPL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Page(s)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Manuscript location / notes</w:t>
            </w:r>
          </w:p>
        </w:tc>
      </w:tr>
      <w:tr>
        <w:tc>
          <w:tcPr>
            <w:tcW w:type="dxa" w:w="2160"/>
          </w:tcPr>
          <w:p>
            <w:r>
              <w:t>Describe methods in enough detail for verification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3-4,13-14</w:t>
            </w:r>
          </w:p>
        </w:tc>
        <w:tc>
          <w:tcPr>
            <w:tcW w:type="dxa" w:w="2160"/>
          </w:tcPr>
          <w:p>
            <w:r>
              <w:t>Model equations in Methods; full code and parameters in public repository (Data Availability).</w:t>
            </w:r>
          </w:p>
        </w:tc>
      </w:tr>
      <w:tr>
        <w:tc>
          <w:tcPr>
            <w:tcW w:type="dxa" w:w="2160"/>
          </w:tcPr>
          <w:p>
            <w:r>
              <w:t>Quantify findings with indicators of uncertainty</w:t>
            </w:r>
          </w:p>
        </w:tc>
        <w:tc>
          <w:tcPr>
            <w:tcW w:type="dxa" w:w="2160"/>
          </w:tcPr>
          <w:p>
            <w:r>
              <w:t>Y/N</w:t>
            </w:r>
          </w:p>
        </w:tc>
        <w:tc>
          <w:tcPr>
            <w:tcW w:type="dxa" w:w="2160"/>
          </w:tcPr>
          <w:p>
            <w:r>
              <w:t>3,8,10-11</w:t>
            </w:r>
          </w:p>
        </w:tc>
        <w:tc>
          <w:tcPr>
            <w:tcW w:type="dxa" w:w="2160"/>
          </w:tcPr>
          <w:p>
            <w:r>
              <w:t>Deterministic model; uncertainty addressed through scenario and sensitivity analyses.</w:t>
            </w:r>
          </w:p>
        </w:tc>
      </w:tr>
      <w:tr>
        <w:tc>
          <w:tcPr>
            <w:tcW w:type="dxa" w:w="2160"/>
          </w:tcPr>
          <w:p>
            <w:r>
              <w:t>Define statistical terms, abbreviations, symbols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1-3</w:t>
            </w:r>
          </w:p>
        </w:tc>
        <w:tc>
          <w:tcPr>
            <w:tcW w:type="dxa" w:w="2160"/>
          </w:tcPr>
          <w:p>
            <w:r>
              <w:t>MCED, PPV, FP/TP ratio, capacity utilisation defined at first use.</w:t>
            </w:r>
          </w:p>
        </w:tc>
      </w:tr>
      <w:tr>
        <w:tc>
          <w:tcPr>
            <w:tcW w:type="dxa" w:w="2160"/>
          </w:tcPr>
          <w:p>
            <w:r>
              <w:t>Specify computer software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13-14</w:t>
            </w:r>
          </w:p>
        </w:tc>
        <w:tc>
          <w:tcPr>
            <w:tcW w:type="dxa" w:w="2160"/>
          </w:tcPr>
          <w:p>
            <w:r>
              <w:t>Python scripts documented; repository and versions available.</w:t>
            </w:r>
          </w:p>
        </w:tc>
      </w:tr>
      <w:tr>
        <w:tc>
          <w:tcPr>
            <w:tcW w:type="dxa" w:w="2160"/>
          </w:tcPr>
          <w:p>
            <w:r>
              <w:t>Preliminary analyses / data transformation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Annualisation of monthly counts; age-group aggregation described in Data sources.</w:t>
            </w:r>
          </w:p>
        </w:tc>
      </w:tr>
      <w:tr>
        <w:tc>
          <w:tcPr>
            <w:tcW w:type="dxa" w:w="2160"/>
          </w:tcPr>
          <w:p>
            <w:r>
              <w:t>Primary analyses: purpose, variables, descriptive statistics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Methods/Model describes purpose, variables, and equations.</w:t>
            </w:r>
          </w:p>
        </w:tc>
      </w:tr>
      <w:tr>
        <w:tc>
          <w:tcPr>
            <w:tcW w:type="dxa" w:w="2160"/>
          </w:tcPr>
          <w:p>
            <w:r>
              <w:t>Smallest clinically important difference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Simulation-based thresholds such as capacity utilisation 100%.</w:t>
            </w:r>
          </w:p>
        </w:tc>
      </w:tr>
      <w:tr>
        <w:tc>
          <w:tcPr>
            <w:tcW w:type="dxa" w:w="2160"/>
          </w:tcPr>
          <w:p>
            <w:r>
              <w:t>Assumptions of methods verified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Limitations states deterministic model and assumptions; sensitivity analyses explore robustness.</w:t>
            </w:r>
          </w:p>
        </w:tc>
      </w:tr>
      <w:tr>
        <w:tc>
          <w:tcPr>
            <w:tcW w:type="dxa" w:w="2160"/>
          </w:tcPr>
          <w:p>
            <w:r>
              <w:t>Multiple comparisons adjustment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hypothesis testing; no p-values.</w:t>
            </w:r>
          </w:p>
        </w:tc>
      </w:tr>
      <w:tr>
        <w:tc>
          <w:tcPr>
            <w:tcW w:type="dxa" w:w="2160"/>
          </w:tcPr>
          <w:p>
            <w:r>
              <w:t>Outlier treatment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outliers in aggregate data.</w:t>
            </w:r>
          </w:p>
        </w:tc>
      </w:tr>
      <w:tr>
        <w:tc>
          <w:tcPr>
            <w:tcW w:type="dxa" w:w="2160"/>
          </w:tcPr>
          <w:p>
            <w:r>
              <w:t>One- or two-tailed tests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hypothesis tests.</w:t>
            </w:r>
          </w:p>
        </w:tc>
      </w:tr>
      <w:tr>
        <w:tc>
          <w:tcPr>
            <w:tcW w:type="dxa" w:w="2160"/>
          </w:tcPr>
          <w:p>
            <w:r>
              <w:t>Alpha level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hypothesis tests.</w:t>
            </w:r>
          </w:p>
        </w:tc>
      </w:tr>
      <w:tr>
        <w:tc>
          <w:tcPr>
            <w:tcW w:type="dxa" w:w="2160"/>
          </w:tcPr>
          <w:p>
            <w:r>
              <w:t>Supplementary analyses identified as exploratory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10-11</w:t>
            </w:r>
          </w:p>
        </w:tc>
        <w:tc>
          <w:tcPr>
            <w:tcW w:type="dxa" w:w="2160"/>
          </w:tcPr>
          <w:p>
            <w:r>
              <w:t>Age-distribution scenarios and tornado diagrams described as supplementary scenario analyses.</w:t>
            </w:r>
          </w:p>
        </w:tc>
      </w:tr>
      <w:tr>
        <w:tc>
          <w:tcPr>
            <w:tcW w:type="dxa" w:w="2160"/>
          </w:tcPr>
          <w:p>
            <w:r>
              <w:t>Numbers reported with appropriate precision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Counts to one decimal place; percentages to two decimals.</w:t>
            </w:r>
          </w:p>
        </w:tc>
      </w:tr>
      <w:tr>
        <w:tc>
          <w:tcPr>
            <w:tcW w:type="dxa" w:w="2160"/>
          </w:tcPr>
          <w:p>
            <w:r>
              <w:t>Numerators and denominators for percentages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PPV and FP/TP reported with underlying true/false positive counts.</w:t>
            </w:r>
          </w:p>
        </w:tc>
      </w:tr>
      <w:tr>
        <w:tc>
          <w:tcPr>
            <w:tcW w:type="dxa" w:w="2160"/>
          </w:tcPr>
          <w:p>
            <w:r>
              <w:t>Use SD, not SE, for variability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inferential statistics.</w:t>
            </w:r>
          </w:p>
        </w:tc>
      </w:tr>
      <w:tr>
        <w:tc>
          <w:tcPr>
            <w:tcW w:type="dxa" w:w="2160"/>
          </w:tcPr>
          <w:p>
            <w:r>
              <w:t>Display data in tables or figures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4-11</w:t>
            </w:r>
          </w:p>
        </w:tc>
        <w:tc>
          <w:tcPr>
            <w:tcW w:type="dxa" w:w="2160"/>
          </w:tcPr>
          <w:p>
            <w:r>
              <w:t>Four main figures and four main tables; supplementary figures and tables.</w:t>
            </w:r>
          </w:p>
        </w:tc>
      </w:tr>
      <w:tr>
        <w:tc>
          <w:tcPr>
            <w:tcW w:type="dxa" w:w="2160"/>
          </w:tcPr>
          <w:p>
            <w:r>
              <w:t>Identify type of rates/ratios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FP/TP ratio, capacity utilisation percentage, visits per 100,000 defined.</w:t>
            </w:r>
          </w:p>
        </w:tc>
      </w:tr>
    </w:tbl>
    <w:p/>
    <w:p>
      <w:r>
        <w:t>References for guidelines: STROBE Statement (https://www.strobe-statement.org/); Phillips WR et al. CRISP Statement. Ann Fam Med. 2023;21(6):549-555. https://doi.org/10.1370/afm.3029; Lang TA, Altman DG. SAMPL Guidelines. Int J Nurs Stud. 2015;52(1):5-9. https://doi.org/10.1016/j.ijnurstu.2014.09.006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