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False-positive cascade from direct-to-consumer multi-cancer early detection blood tests in Japan: a scenario modelling study of health-system burden</w:t>
      </w:r>
    </w:p>
    <w:p/>
    <w:p>
      <w:pPr>
        <w:jc w:val="center"/>
      </w:pPr>
      <w:r>
        <w:rPr>
          <w:i/>
        </w:rPr>
        <w:t>Full-length Article</w:t>
      </w:r>
    </w:p>
    <w:p>
      <w:pPr>
        <w:pStyle w:val="Heading2"/>
      </w:pPr>
      <w:r>
        <w:t>Authors and affiliations</w:t>
      </w:r>
    </w:p>
    <w:p>
      <w:pPr>
        <w:jc w:val="center"/>
      </w:pPr>
      <w:r>
        <w:t>[Author 1 Name]</w:t>
      </w:r>
      <w:r>
        <w:rPr>
          <w:vertAlign w:val="superscript"/>
        </w:rPr>
        <w:t>1</w:t>
      </w:r>
      <w:r>
        <w:t xml:space="preserve">, </w:t>
      </w:r>
      <w:r>
        <w:t>[Author 2 Name]</w:t>
      </w:r>
      <w:r>
        <w:rPr>
          <w:vertAlign w:val="superscript"/>
        </w:rPr>
        <w:t>2</w:t>
      </w:r>
      <w:r>
        <w:t xml:space="preserve">, </w:t>
      </w:r>
      <w:r>
        <w:t>[Author 3 Name]</w:t>
      </w:r>
      <w:r>
        <w:rPr>
          <w:vertAlign w:val="superscript"/>
        </w:rPr>
        <w:t>1</w:t>
      </w:r>
    </w:p>
    <w:p>
      <w:pPr>
        <w:jc w:val="center"/>
      </w:pPr>
      <w:r>
        <w:rPr>
          <w:vertAlign w:val="superscript"/>
        </w:rPr>
        <w:t xml:space="preserve">[1] </w:t>
      </w:r>
      <w:r>
        <w:t xml:space="preserve">[Affiliation 1]  </w:t>
      </w:r>
      <w:r>
        <w:rPr>
          <w:vertAlign w:val="superscript"/>
        </w:rPr>
        <w:t xml:space="preserve">[2] </w:t>
      </w:r>
      <w:r>
        <w:t>[Affiliation 2]</w:t>
      </w:r>
    </w:p>
    <w:p>
      <w:pPr>
        <w:pStyle w:val="Heading2"/>
      </w:pPr>
      <w:r>
        <w:t>Corresponding author</w:t>
      </w:r>
    </w:p>
    <w:p>
      <w:r>
        <w:t>[Name, full postal address, telephone number and e-mail address]</w:t>
      </w:r>
    </w:p>
    <w:p>
      <w:pPr>
        <w:pStyle w:val="Heading2"/>
      </w:pPr>
      <w:r>
        <w:t>Abstract</w:t>
      </w:r>
    </w:p>
    <w:p>
      <w:r>
        <w:rPr>
          <w:b/>
          <w:sz w:val="22"/>
        </w:rPr>
        <w:t>Background:</w:t>
      </w:r>
      <w:r>
        <w:rPr>
          <w:sz w:val="22"/>
        </w:rPr>
        <w:t xml:space="preserve"> Direct-to-consumer (DTC) blood-based multi-cancer early detection (MCED) tests are marketed as a convenient cancer screen that requires only a single blood draw. In asymptomatic populations most positive results are false positives, each of which can trigger a cascade of primary care, imaging, endoscopy, and specialist visits.</w:t>
      </w:r>
    </w:p>
    <w:p>
      <w:r>
        <w:rPr>
          <w:b/>
          <w:sz w:val="22"/>
        </w:rPr>
        <w:t>Objective:</w:t>
      </w:r>
      <w:r>
        <w:rPr>
          <w:sz w:val="22"/>
        </w:rPr>
        <w:t xml:space="preserve"> To quantify the health-system burden of a DTC MCED screening wave in Japan as a function of follow-up behaviour, test specificity, and age structure.</w:t>
      </w:r>
    </w:p>
    <w:p>
      <w:r>
        <w:rPr>
          <w:b/>
          <w:sz w:val="22"/>
        </w:rPr>
        <w:t>Methods:</w:t>
      </w:r>
      <w:r>
        <w:rPr>
          <w:sz w:val="22"/>
        </w:rPr>
        <w:t xml:space="preserve"> A deterministic expected-value cohort model was parameterised with 2023 adult cancer incidence and population data from Japan, 2023 national diagnostic volumes, and primary care and specialist capacity derived from NDB Open Data outpatient counts and Japanese specialist-board counts. True positives, false positives, downstream visits, capacity utilisation, and per-specialist case load were estimated across follow-up rates of 0-100% and specificities of 95.0-99.9%.</w:t>
      </w:r>
    </w:p>
    <w:p>
      <w:r>
        <w:rPr>
          <w:b/>
          <w:sz w:val="22"/>
        </w:rPr>
        <w:t>Results:</w:t>
      </w:r>
      <w:r>
        <w:rPr>
          <w:sz w:val="22"/>
        </w:rPr>
        <w:t xml:space="preserve"> In a 100,000-person cohort at 50% follow-up and 0.990 specificity, the model generated 383.5 true positives and 7994.5 false positives (positive predictive value 4.58%; false-positive/true-positive ratio 20.8). Total downstream visits reached 19873.4, including 4189.0 primary care visits (35.0% of the illustrative primary-care capacity). Maximum capacity utilisation was 163.2% (specialist visits). The illustrative capacity ceiling was exceeded at a follow-up rate of 40% (specialist total visits). False-positive specialist visits added 168.8 visits per relevant specialist, raising the effective cases per specialist from 35.1 to 204.0 (481% increase).</w:t>
      </w:r>
    </w:p>
    <w:p>
      <w:r>
        <w:rPr>
          <w:b/>
          <w:sz w:val="22"/>
        </w:rPr>
        <w:t>Conclusions:</w:t>
      </w:r>
      <w:r>
        <w:rPr>
          <w:sz w:val="22"/>
        </w:rPr>
        <w:t xml:space="preserve"> Transparent positive predictive value reporting, pre-market performance thresholds, and defined follow-up obligations are needed before routine DTC MCED adoption.</w:t>
      </w:r>
    </w:p>
    <w:p>
      <w:r>
        <w:rPr>
          <w:b/>
          <w:sz w:val="22"/>
        </w:rPr>
        <w:t>Keywords:</w:t>
      </w:r>
      <w:r>
        <w:rPr>
          <w:sz w:val="22"/>
        </w:rPr>
        <w:t xml:space="preserve"> multi-cancer early detection, false positive, health policy, healthcare capacity, direct-to-consumer testing, scenario model</w:t>
      </w:r>
    </w:p>
    <w:p>
      <w:pPr>
        <w:pStyle w:val="Heading2"/>
      </w:pPr>
      <w:r>
        <w:t>Word counts</w:t>
      </w:r>
    </w:p>
    <w:p>
      <w:r>
        <w:t>Abstract: 241 words</w:t>
      </w:r>
    </w:p>
    <w:p>
      <w:r>
        <w:t>Main text excluding references and title page: approximately 2758 words</w:t>
      </w:r>
    </w:p>
    <w:p>
      <w:r>
        <w:t>Main manuscript including references and tables: approximately 2999 words</w:t>
      </w:r>
    </w:p>
    <w:p>
      <w:r>
        <w:t>Tables in main manuscript: 2; Figures in main manuscript: 2 (4 items total)</w:t>
      </w:r>
    </w:p>
    <w:p>
      <w:pPr>
        <w:pStyle w:val="Heading2"/>
      </w:pPr>
      <w:r>
        <w:t>Funding</w:t>
      </w:r>
    </w:p>
    <w:p>
      <w:r>
        <w:t>No external funding was received for this study.</w:t>
      </w:r>
    </w:p>
    <w:p>
      <w:pPr>
        <w:pStyle w:val="Heading2"/>
      </w:pPr>
      <w:r>
        <w:t>Competing interests</w:t>
      </w:r>
    </w:p>
    <w:p>
      <w:r>
        <w:t>The authors declare no competing interests.</w:t>
      </w:r>
    </w:p>
    <w:p>
      <w:pPr>
        <w:pStyle w:val="Heading2"/>
      </w:pPr>
      <w:r>
        <w:t>Acknowledgements</w:t>
      </w:r>
    </w:p>
    <w:p>
      <w:r>
        <w:t>No acknowledgements.</w:t>
      </w:r>
    </w:p>
    <w:p>
      <w:pPr>
        <w:pStyle w:val="Heading2"/>
      </w:pPr>
      <w:r>
        <w:t>Author contributions (CRediT)</w:t>
      </w:r>
    </w:p>
    <w:p>
      <w:r>
        <w:t>[Author 1 Name]: Conceptualization, Methodology, Software, Writing - original draft. [Author 2 Name]: Data curation, Formal analysis, Visualization, Writing - review &amp; editing. [Author 3 Name]: Supervision, Writing - review &amp; editing. All authors approved the final manuscript.</w:t>
      </w:r>
    </w:p>
    <w:p>
      <w:pPr>
        <w:pStyle w:val="Heading2"/>
      </w:pPr>
      <w:r>
        <w:t>Data and code availability</w:t>
      </w:r>
    </w:p>
    <w:p>
      <w:r>
        <w:t>All data sources are publicly available and listed in Table 1 of the main manuscript. Analysis code, parameters, and outputs are available at https://github.com/bougtoir/cancer-screening-burden-data-driven.</w:t>
      </w:r>
    </w:p>
    <w:p>
      <w:pPr>
        <w:pStyle w:val="Heading2"/>
      </w:pPr>
      <w:r>
        <w:t>Ethics approval</w:t>
      </w:r>
    </w:p>
    <w:p>
      <w:r>
        <w:t>This study used only publicly available aggregate data and a deterministic simulation; ethics approval was not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Malgun Gothic"/>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Malgun Gothic"/>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